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B54C" w14:textId="3845171D" w:rsidR="00C37BF5" w:rsidRDefault="00000000">
      <w:pPr>
        <w:pStyle w:val="a4"/>
        <w:tabs>
          <w:tab w:val="left" w:pos="3773"/>
          <w:tab w:val="left" w:pos="7133"/>
        </w:tabs>
        <w:spacing w:before="46"/>
      </w:pPr>
      <w:bookmarkStart w:id="0" w:name="_Hlk101272115"/>
      <w:r>
        <w:t>证券代码：301109             证券简称：</w:t>
      </w:r>
      <w:r>
        <w:rPr>
          <w:rFonts w:hint="eastAsia"/>
        </w:rPr>
        <w:t>军信股份</w:t>
      </w:r>
      <w:r>
        <w:t xml:space="preserve">          公告编号：2023-</w:t>
      </w:r>
      <w:r w:rsidR="00462300">
        <w:rPr>
          <w:rFonts w:hint="eastAsia"/>
        </w:rPr>
        <w:t>0</w:t>
      </w:r>
      <w:r w:rsidR="00462300">
        <w:t>91</w:t>
      </w:r>
    </w:p>
    <w:bookmarkEnd w:id="0"/>
    <w:p w14:paraId="59291F6A" w14:textId="77777777" w:rsidR="00C37BF5" w:rsidRDefault="00C37BF5">
      <w:pPr>
        <w:adjustRightInd w:val="0"/>
        <w:spacing w:line="240" w:lineRule="exact"/>
        <w:jc w:val="center"/>
        <w:rPr>
          <w:rFonts w:cs="Times New Roman"/>
          <w:b/>
          <w:bCs/>
          <w:kern w:val="2"/>
          <w:sz w:val="32"/>
          <w:szCs w:val="32"/>
        </w:rPr>
      </w:pPr>
    </w:p>
    <w:p w14:paraId="19A71AA0" w14:textId="77777777" w:rsidR="00C37BF5" w:rsidRDefault="00000000">
      <w:pPr>
        <w:adjustRightInd w:val="0"/>
        <w:spacing w:line="600" w:lineRule="exact"/>
        <w:jc w:val="center"/>
        <w:rPr>
          <w:rFonts w:cs="Times New Roman"/>
          <w:b/>
          <w:bCs/>
          <w:kern w:val="2"/>
          <w:sz w:val="32"/>
          <w:szCs w:val="32"/>
        </w:rPr>
      </w:pPr>
      <w:bookmarkStart w:id="1" w:name="_Hlk101258425"/>
      <w:r>
        <w:rPr>
          <w:rFonts w:cs="Times New Roman" w:hint="eastAsia"/>
          <w:b/>
          <w:bCs/>
          <w:kern w:val="2"/>
          <w:sz w:val="32"/>
          <w:szCs w:val="32"/>
        </w:rPr>
        <w:t>湖南军信环保股份有限公司</w:t>
      </w:r>
      <w:bookmarkEnd w:id="1"/>
    </w:p>
    <w:p w14:paraId="2EDAE486" w14:textId="69BF98F8" w:rsidR="004B111F" w:rsidRDefault="00000000">
      <w:pPr>
        <w:adjustRightInd w:val="0"/>
        <w:spacing w:line="600" w:lineRule="exact"/>
        <w:jc w:val="center"/>
        <w:rPr>
          <w:rFonts w:cs="Times New Roman"/>
          <w:b/>
          <w:bCs/>
          <w:kern w:val="2"/>
          <w:sz w:val="32"/>
          <w:szCs w:val="32"/>
        </w:rPr>
      </w:pPr>
      <w:r>
        <w:rPr>
          <w:rFonts w:cs="Times New Roman" w:hint="eastAsia"/>
          <w:b/>
          <w:bCs/>
          <w:kern w:val="2"/>
          <w:sz w:val="32"/>
          <w:szCs w:val="32"/>
        </w:rPr>
        <w:t>关于</w:t>
      </w:r>
      <w:r w:rsidR="004B111F">
        <w:rPr>
          <w:rFonts w:cs="Times New Roman" w:hint="eastAsia"/>
          <w:b/>
          <w:bCs/>
          <w:kern w:val="2"/>
          <w:sz w:val="32"/>
          <w:szCs w:val="32"/>
        </w:rPr>
        <w:t>与</w:t>
      </w:r>
      <w:r w:rsidR="004B111F" w:rsidRPr="004B111F">
        <w:rPr>
          <w:rFonts w:cs="Times New Roman" w:hint="eastAsia"/>
          <w:b/>
          <w:bCs/>
          <w:kern w:val="2"/>
          <w:sz w:val="32"/>
          <w:szCs w:val="32"/>
        </w:rPr>
        <w:t>吉尔吉斯共和国</w:t>
      </w:r>
      <w:r w:rsidR="007C2707">
        <w:rPr>
          <w:rFonts w:cs="Times New Roman" w:hint="eastAsia"/>
          <w:b/>
          <w:bCs/>
          <w:kern w:val="2"/>
          <w:sz w:val="32"/>
          <w:szCs w:val="32"/>
        </w:rPr>
        <w:t>首都</w:t>
      </w:r>
      <w:r w:rsidR="004B111F" w:rsidRPr="004B111F">
        <w:rPr>
          <w:rFonts w:cs="Times New Roman" w:hint="eastAsia"/>
          <w:b/>
          <w:bCs/>
          <w:kern w:val="2"/>
          <w:sz w:val="32"/>
          <w:szCs w:val="32"/>
        </w:rPr>
        <w:t>比什凯克市政府</w:t>
      </w:r>
      <w:r>
        <w:rPr>
          <w:rFonts w:cs="Times New Roman" w:hint="eastAsia"/>
          <w:b/>
          <w:bCs/>
          <w:kern w:val="2"/>
          <w:sz w:val="32"/>
          <w:szCs w:val="32"/>
        </w:rPr>
        <w:t>签订</w:t>
      </w:r>
    </w:p>
    <w:p w14:paraId="3AB51BEE" w14:textId="4D195560" w:rsidR="00C37BF5" w:rsidRDefault="00000000">
      <w:pPr>
        <w:adjustRightInd w:val="0"/>
        <w:spacing w:line="600" w:lineRule="exact"/>
        <w:jc w:val="center"/>
        <w:rPr>
          <w:rFonts w:cs="Times New Roman"/>
          <w:b/>
          <w:bCs/>
          <w:kern w:val="2"/>
          <w:sz w:val="32"/>
          <w:szCs w:val="32"/>
        </w:rPr>
      </w:pPr>
      <w:r>
        <w:rPr>
          <w:rFonts w:cs="Times New Roman" w:hint="eastAsia"/>
          <w:b/>
          <w:bCs/>
          <w:kern w:val="2"/>
          <w:sz w:val="32"/>
          <w:szCs w:val="32"/>
        </w:rPr>
        <w:t>《</w:t>
      </w:r>
      <w:bookmarkStart w:id="2" w:name="_Hlk150715985"/>
      <w:r w:rsidR="004B111F" w:rsidRPr="004B111F">
        <w:rPr>
          <w:rFonts w:cs="Times New Roman" w:hint="eastAsia"/>
          <w:b/>
          <w:bCs/>
          <w:kern w:val="2"/>
          <w:sz w:val="32"/>
          <w:szCs w:val="32"/>
        </w:rPr>
        <w:t>垃圾焚烧发电项目框架协议</w:t>
      </w:r>
      <w:bookmarkEnd w:id="2"/>
      <w:r>
        <w:rPr>
          <w:rFonts w:cs="Times New Roman" w:hint="eastAsia"/>
          <w:b/>
          <w:bCs/>
          <w:kern w:val="2"/>
          <w:sz w:val="32"/>
          <w:szCs w:val="32"/>
        </w:rPr>
        <w:t>》的公告</w:t>
      </w:r>
    </w:p>
    <w:p w14:paraId="50FD4EF4" w14:textId="77777777" w:rsidR="00C37BF5" w:rsidRDefault="00C37BF5">
      <w:pPr>
        <w:adjustRightInd w:val="0"/>
        <w:spacing w:line="240" w:lineRule="exact"/>
        <w:jc w:val="center"/>
        <w:rPr>
          <w:rFonts w:cs="Times New Roman"/>
          <w:b/>
          <w:bCs/>
          <w:kern w:val="2"/>
          <w:sz w:val="32"/>
          <w:szCs w:val="32"/>
        </w:rPr>
      </w:pPr>
    </w:p>
    <w:p w14:paraId="20CACA26" w14:textId="77777777" w:rsidR="00C37BF5" w:rsidRDefault="00000000">
      <w:pPr>
        <w:pStyle w:val="a4"/>
        <w:spacing w:before="11"/>
        <w:ind w:left="0"/>
        <w:rPr>
          <w:sz w:val="9"/>
        </w:rPr>
      </w:pPr>
      <w:r>
        <w:rPr>
          <w:noProof/>
        </w:rPr>
        <mc:AlternateContent>
          <mc:Choice Requires="wps">
            <w:drawing>
              <wp:anchor distT="0" distB="0" distL="114300" distR="114300" simplePos="0" relativeHeight="251659264" behindDoc="1" locked="0" layoutInCell="1" allowOverlap="1" wp14:anchorId="47433E8C" wp14:editId="79C3523A">
                <wp:simplePos x="0" y="0"/>
                <wp:positionH relativeFrom="page">
                  <wp:posOffset>1017905</wp:posOffset>
                </wp:positionH>
                <wp:positionV relativeFrom="paragraph">
                  <wp:posOffset>100965</wp:posOffset>
                </wp:positionV>
                <wp:extent cx="5715000" cy="72390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3900"/>
                        </a:xfrm>
                        <a:prstGeom prst="rect">
                          <a:avLst/>
                        </a:prstGeom>
                        <a:noFill/>
                        <a:ln w="9525">
                          <a:solidFill>
                            <a:srgbClr val="000000"/>
                          </a:solidFill>
                          <a:miter lim="800000"/>
                        </a:ln>
                      </wps:spPr>
                      <wps:txbx>
                        <w:txbxContent>
                          <w:p w14:paraId="76F88A98" w14:textId="77777777" w:rsidR="00C37BF5" w:rsidRDefault="00000000">
                            <w:pPr>
                              <w:pStyle w:val="a4"/>
                              <w:spacing w:before="184" w:line="345" w:lineRule="auto"/>
                              <w:ind w:left="144" w:right="198" w:firstLine="479"/>
                              <w:rPr>
                                <w:b/>
                                <w:bCs/>
                              </w:rPr>
                            </w:pPr>
                            <w:r>
                              <w:rPr>
                                <w:b/>
                                <w:bCs/>
                                <w:spacing w:val="-2"/>
                              </w:rPr>
                              <w:t>本公司及董事会全体成员保证信息披露的内容真实、准确、完整，没有虚假记载、误导性陈述或重大遗漏。</w:t>
                            </w:r>
                          </w:p>
                        </w:txbxContent>
                      </wps:txbx>
                      <wps:bodyPr rot="0" vert="horz" wrap="square" lIns="0" tIns="0" rIns="0" bIns="0" anchor="t" anchorCtr="0" upright="1">
                        <a:noAutofit/>
                      </wps:bodyPr>
                    </wps:wsp>
                  </a:graphicData>
                </a:graphic>
              </wp:anchor>
            </w:drawing>
          </mc:Choice>
          <mc:Fallback>
            <w:pict>
              <v:shapetype w14:anchorId="47433E8C" id="_x0000_t202" coordsize="21600,21600" o:spt="202" path="m,l,21600r21600,l21600,xe">
                <v:stroke joinstyle="miter"/>
                <v:path gradientshapeok="t" o:connecttype="rect"/>
              </v:shapetype>
              <v:shape id="docshape2" o:spid="_x0000_s1026" type="#_x0000_t202" style="position:absolute;margin-left:80.15pt;margin-top:7.95pt;width:450pt;height:57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" filled="f">
                <v:textbox inset="0,0,0,0">
                  <w:txbxContent>
                    <w:p w14:paraId="76F88A98" w14:textId="77777777" w:rsidR="00C37BF5" w:rsidRDefault="00000000">
                      <w:pPr>
                        <w:pStyle w:val="a4"/>
                        <w:spacing w:before="184" w:line="345" w:lineRule="auto"/>
                        <w:ind w:left="144" w:right="198" w:firstLine="479"/>
                        <w:rPr>
                          <w:b/>
                          <w:bCs/>
                        </w:rPr>
                      </w:pPr>
                      <w:r>
                        <w:rPr>
                          <w:b/>
                          <w:bCs/>
                          <w:spacing w:val="-2"/>
                        </w:rPr>
                        <w:t>本公司及董事会全体成员保证信息披露的内容真实、准确、完整，没有虚假记载、误导性陈述或重大遗漏。</w:t>
                      </w:r>
                    </w:p>
                  </w:txbxContent>
                </v:textbox>
                <w10:wrap type="topAndBottom" anchorx="page"/>
              </v:shape>
            </w:pict>
          </mc:Fallback>
        </mc:AlternateContent>
      </w:r>
    </w:p>
    <w:p w14:paraId="1EB9CFAD" w14:textId="77777777" w:rsidR="00C37BF5" w:rsidRDefault="00C37BF5">
      <w:pPr>
        <w:pStyle w:val="a4"/>
        <w:spacing w:line="240" w:lineRule="exact"/>
        <w:ind w:left="0"/>
        <w:rPr>
          <w:sz w:val="36"/>
        </w:rPr>
      </w:pPr>
    </w:p>
    <w:p w14:paraId="5960D858" w14:textId="77777777" w:rsidR="00C37BF5" w:rsidRDefault="00000000">
      <w:pPr>
        <w:spacing w:line="420" w:lineRule="exact"/>
        <w:ind w:firstLineChars="200" w:firstLine="480"/>
        <w:rPr>
          <w:sz w:val="24"/>
          <w:szCs w:val="24"/>
        </w:rPr>
      </w:pPr>
      <w:bookmarkStart w:id="3" w:name="_Hlk125730465"/>
      <w:r>
        <w:rPr>
          <w:rFonts w:hint="eastAsia"/>
          <w:sz w:val="24"/>
          <w:szCs w:val="24"/>
        </w:rPr>
        <w:t>特别提示：</w:t>
      </w:r>
    </w:p>
    <w:p w14:paraId="73588028" w14:textId="6243607C" w:rsidR="00C37BF5" w:rsidRDefault="00000000" w:rsidP="00642012">
      <w:pPr>
        <w:spacing w:line="420" w:lineRule="exact"/>
        <w:ind w:firstLineChars="200" w:firstLine="480"/>
        <w:rPr>
          <w:sz w:val="24"/>
          <w:szCs w:val="24"/>
        </w:rPr>
      </w:pPr>
      <w:bookmarkStart w:id="4" w:name="_Hlk135224383"/>
      <w:r>
        <w:rPr>
          <w:sz w:val="24"/>
          <w:szCs w:val="24"/>
        </w:rPr>
        <w:t>1、</w:t>
      </w:r>
      <w:bookmarkStart w:id="5" w:name="_Hlk150716030"/>
      <w:r>
        <w:rPr>
          <w:rFonts w:hint="eastAsia"/>
          <w:sz w:val="24"/>
          <w:szCs w:val="24"/>
        </w:rPr>
        <w:t>吉尔吉斯共和国</w:t>
      </w:r>
      <w:r w:rsidR="00DE1711">
        <w:rPr>
          <w:rFonts w:hint="eastAsia"/>
          <w:sz w:val="24"/>
          <w:szCs w:val="24"/>
        </w:rPr>
        <w:t>首都</w:t>
      </w:r>
      <w:r>
        <w:rPr>
          <w:rFonts w:hint="eastAsia"/>
          <w:sz w:val="24"/>
          <w:szCs w:val="24"/>
        </w:rPr>
        <w:t>比什凯克市政府</w:t>
      </w:r>
      <w:bookmarkEnd w:id="5"/>
      <w:r>
        <w:rPr>
          <w:rFonts w:hint="eastAsia"/>
          <w:sz w:val="24"/>
          <w:szCs w:val="24"/>
        </w:rPr>
        <w:t>和湖南军信环保股份有限公司（以下简称“公司”）签署的</w:t>
      </w:r>
      <w:bookmarkStart w:id="6" w:name="_Hlk150768265"/>
      <w:r>
        <w:rPr>
          <w:rFonts w:hint="eastAsia"/>
          <w:sz w:val="24"/>
          <w:szCs w:val="24"/>
        </w:rPr>
        <w:t>《</w:t>
      </w:r>
      <w:bookmarkStart w:id="7" w:name="_Hlk150939140"/>
      <w:r w:rsidR="00642012" w:rsidRPr="00642012">
        <w:rPr>
          <w:rFonts w:hint="eastAsia"/>
          <w:sz w:val="24"/>
          <w:szCs w:val="24"/>
        </w:rPr>
        <w:t>垃圾焚烧发电项目</w:t>
      </w:r>
      <w:r>
        <w:rPr>
          <w:rFonts w:hint="eastAsia"/>
          <w:sz w:val="24"/>
          <w:szCs w:val="24"/>
        </w:rPr>
        <w:t>框架协议</w:t>
      </w:r>
      <w:bookmarkEnd w:id="7"/>
      <w:r>
        <w:rPr>
          <w:rFonts w:hint="eastAsia"/>
          <w:sz w:val="24"/>
          <w:szCs w:val="24"/>
        </w:rPr>
        <w:t>》</w:t>
      </w:r>
      <w:bookmarkEnd w:id="6"/>
      <w:r>
        <w:rPr>
          <w:rFonts w:hint="eastAsia"/>
          <w:sz w:val="24"/>
          <w:szCs w:val="24"/>
        </w:rPr>
        <w:t>（以下简称“</w:t>
      </w:r>
      <w:r w:rsidR="00462300">
        <w:rPr>
          <w:rFonts w:hint="eastAsia"/>
          <w:sz w:val="24"/>
          <w:szCs w:val="24"/>
        </w:rPr>
        <w:t>《</w:t>
      </w:r>
      <w:r>
        <w:rPr>
          <w:rFonts w:hint="eastAsia"/>
          <w:sz w:val="24"/>
          <w:szCs w:val="24"/>
        </w:rPr>
        <w:t>框架协议</w:t>
      </w:r>
      <w:r w:rsidR="00462300">
        <w:rPr>
          <w:rFonts w:hint="eastAsia"/>
          <w:sz w:val="24"/>
          <w:szCs w:val="24"/>
        </w:rPr>
        <w:t>》</w:t>
      </w:r>
      <w:r>
        <w:rPr>
          <w:rFonts w:hint="eastAsia"/>
          <w:sz w:val="24"/>
          <w:szCs w:val="24"/>
        </w:rPr>
        <w:t>”）</w:t>
      </w:r>
      <w:r>
        <w:rPr>
          <w:sz w:val="24"/>
          <w:szCs w:val="24"/>
        </w:rPr>
        <w:t>属于双方达成的意向性约定，后续具体事项需进一步协商确定，最终能</w:t>
      </w:r>
      <w:r>
        <w:rPr>
          <w:rFonts w:hint="eastAsia"/>
          <w:sz w:val="24"/>
          <w:szCs w:val="24"/>
        </w:rPr>
        <w:t>否实施</w:t>
      </w:r>
      <w:r>
        <w:rPr>
          <w:sz w:val="24"/>
          <w:szCs w:val="24"/>
        </w:rPr>
        <w:t>尚存</w:t>
      </w:r>
      <w:r>
        <w:rPr>
          <w:rFonts w:hint="eastAsia"/>
          <w:sz w:val="24"/>
          <w:szCs w:val="24"/>
        </w:rPr>
        <w:t>在</w:t>
      </w:r>
      <w:r>
        <w:rPr>
          <w:sz w:val="24"/>
          <w:szCs w:val="24"/>
        </w:rPr>
        <w:t>不确定性。</w:t>
      </w:r>
    </w:p>
    <w:p w14:paraId="253976B8" w14:textId="77777777" w:rsidR="00C37BF5" w:rsidRDefault="00000000">
      <w:pPr>
        <w:spacing w:line="420" w:lineRule="exact"/>
        <w:ind w:firstLineChars="200" w:firstLine="480"/>
        <w:rPr>
          <w:sz w:val="24"/>
          <w:szCs w:val="24"/>
        </w:rPr>
      </w:pPr>
      <w:r>
        <w:rPr>
          <w:sz w:val="24"/>
          <w:szCs w:val="24"/>
        </w:rPr>
        <w:t>2、本</w:t>
      </w:r>
      <w:bookmarkStart w:id="8" w:name="_Hlk150716989"/>
      <w:r>
        <w:rPr>
          <w:rFonts w:hint="eastAsia"/>
          <w:sz w:val="24"/>
          <w:szCs w:val="24"/>
        </w:rPr>
        <w:t>框架协议</w:t>
      </w:r>
      <w:bookmarkEnd w:id="8"/>
      <w:r>
        <w:rPr>
          <w:sz w:val="24"/>
          <w:szCs w:val="24"/>
        </w:rPr>
        <w:t>为双方推进具体项目合作奠定的基础，不涉及具体交易金额，对公司本年度及后续年度的财务状况和经营成果的影响尚存在不确定性。</w:t>
      </w:r>
    </w:p>
    <w:p w14:paraId="288C31CF" w14:textId="77777777" w:rsidR="00C37BF5" w:rsidRDefault="00000000">
      <w:pPr>
        <w:spacing w:line="420" w:lineRule="exact"/>
        <w:ind w:firstLineChars="200" w:firstLine="480"/>
        <w:rPr>
          <w:sz w:val="24"/>
          <w:szCs w:val="24"/>
        </w:rPr>
      </w:pPr>
      <w:r>
        <w:rPr>
          <w:sz w:val="24"/>
          <w:szCs w:val="24"/>
        </w:rPr>
        <w:t>3、关于本</w:t>
      </w:r>
      <w:r>
        <w:rPr>
          <w:rFonts w:hint="eastAsia"/>
          <w:sz w:val="24"/>
          <w:szCs w:val="24"/>
        </w:rPr>
        <w:t>框架协议</w:t>
      </w:r>
      <w:r>
        <w:rPr>
          <w:sz w:val="24"/>
          <w:szCs w:val="24"/>
        </w:rPr>
        <w:t>涉及的各项后续事宜，公司将严格按照相关法律法规和《公司章程》的有关规定履行相关程序并及时履行信息披露义务，敬请广大投资者注意投资风险。</w:t>
      </w:r>
    </w:p>
    <w:p w14:paraId="255F982F" w14:textId="77777777" w:rsidR="00C37BF5" w:rsidRDefault="00000000">
      <w:pPr>
        <w:spacing w:line="420" w:lineRule="exact"/>
        <w:ind w:firstLineChars="200" w:firstLine="480"/>
        <w:rPr>
          <w:sz w:val="24"/>
          <w:szCs w:val="24"/>
        </w:rPr>
      </w:pPr>
      <w:r>
        <w:rPr>
          <w:sz w:val="24"/>
          <w:szCs w:val="24"/>
        </w:rPr>
        <w:t>4</w:t>
      </w:r>
      <w:r>
        <w:rPr>
          <w:rFonts w:hint="eastAsia"/>
          <w:sz w:val="24"/>
          <w:szCs w:val="24"/>
        </w:rPr>
        <w:t>、</w:t>
      </w:r>
      <w:bookmarkStart w:id="9" w:name="_Hlk128663535"/>
      <w:r>
        <w:rPr>
          <w:rFonts w:hint="eastAsia"/>
          <w:sz w:val="24"/>
          <w:szCs w:val="24"/>
        </w:rPr>
        <w:t>本框架协议的签订</w:t>
      </w:r>
      <w:bookmarkEnd w:id="9"/>
      <w:r>
        <w:rPr>
          <w:rFonts w:hint="eastAsia"/>
          <w:sz w:val="24"/>
          <w:szCs w:val="24"/>
        </w:rPr>
        <w:t>不构成关联交易，也不构成《上市公司重大资产重组管理办法》规定的重大资产重组。</w:t>
      </w:r>
      <w:bookmarkEnd w:id="4"/>
    </w:p>
    <w:p w14:paraId="5F5E0F93" w14:textId="77777777" w:rsidR="00C37BF5" w:rsidRDefault="00000000">
      <w:pPr>
        <w:spacing w:line="420" w:lineRule="exact"/>
        <w:ind w:firstLineChars="200" w:firstLine="480"/>
        <w:rPr>
          <w:sz w:val="24"/>
          <w:szCs w:val="24"/>
        </w:rPr>
      </w:pPr>
      <w:r>
        <w:rPr>
          <w:rFonts w:hint="eastAsia"/>
          <w:sz w:val="24"/>
          <w:szCs w:val="24"/>
        </w:rPr>
        <w:t>5、公司最近三年已披露的框架协议或意向性协议不存在无进展或进展未达预期的情况。</w:t>
      </w:r>
    </w:p>
    <w:p w14:paraId="368865B3" w14:textId="77777777" w:rsidR="00C37BF5" w:rsidRDefault="00C37BF5">
      <w:pPr>
        <w:spacing w:line="420" w:lineRule="exact"/>
        <w:ind w:firstLineChars="200" w:firstLine="480"/>
        <w:rPr>
          <w:sz w:val="24"/>
          <w:szCs w:val="24"/>
        </w:rPr>
      </w:pPr>
    </w:p>
    <w:p w14:paraId="29B26210" w14:textId="77777777" w:rsidR="00C37BF5" w:rsidRDefault="00000000">
      <w:pPr>
        <w:spacing w:line="400" w:lineRule="exact"/>
        <w:ind w:firstLineChars="200" w:firstLine="482"/>
        <w:rPr>
          <w:b/>
          <w:bCs/>
          <w:sz w:val="24"/>
          <w:szCs w:val="24"/>
        </w:rPr>
      </w:pPr>
      <w:bookmarkStart w:id="10" w:name="_Hlk128594496"/>
      <w:r>
        <w:rPr>
          <w:rFonts w:hint="eastAsia"/>
          <w:b/>
          <w:bCs/>
          <w:sz w:val="24"/>
          <w:szCs w:val="24"/>
        </w:rPr>
        <w:t>一、</w:t>
      </w:r>
      <w:bookmarkStart w:id="11" w:name="_Hlk150716212"/>
      <w:r>
        <w:rPr>
          <w:rFonts w:hint="eastAsia"/>
          <w:b/>
          <w:bCs/>
          <w:sz w:val="24"/>
          <w:szCs w:val="24"/>
        </w:rPr>
        <w:t>框架协议</w:t>
      </w:r>
      <w:bookmarkEnd w:id="11"/>
      <w:r>
        <w:rPr>
          <w:rFonts w:hint="eastAsia"/>
          <w:b/>
          <w:bCs/>
          <w:sz w:val="24"/>
          <w:szCs w:val="24"/>
        </w:rPr>
        <w:t>的签署概况</w:t>
      </w:r>
    </w:p>
    <w:p w14:paraId="3B68D814" w14:textId="403AECE8" w:rsidR="00C37BF5" w:rsidRDefault="006823A1" w:rsidP="006823A1">
      <w:pPr>
        <w:spacing w:line="400" w:lineRule="exact"/>
        <w:ind w:firstLineChars="200" w:firstLine="480"/>
        <w:rPr>
          <w:sz w:val="24"/>
          <w:szCs w:val="24"/>
        </w:rPr>
      </w:pPr>
      <w:r w:rsidRPr="006823A1">
        <w:rPr>
          <w:rFonts w:hint="eastAsia"/>
          <w:sz w:val="24"/>
          <w:szCs w:val="24"/>
        </w:rPr>
        <w:t>为实现垃圾减量化、资源化、无害化处理，吉尔吉斯共和国比什凯克市政府决定采用清洁焚烧方式对吉尔吉斯共和国楚河州比什凯克市的垃圾进行处置，项目名称为“垃圾焚烧发电项目”（以下简称“本项目”）。</w:t>
      </w:r>
      <w:r w:rsidR="00642012">
        <w:rPr>
          <w:rFonts w:hint="eastAsia"/>
          <w:sz w:val="24"/>
          <w:szCs w:val="24"/>
        </w:rPr>
        <w:t>经</w:t>
      </w:r>
      <w:bookmarkStart w:id="12" w:name="_Hlk150941587"/>
      <w:r w:rsidR="00642012">
        <w:rPr>
          <w:rFonts w:hint="eastAsia"/>
          <w:sz w:val="24"/>
          <w:szCs w:val="24"/>
        </w:rPr>
        <w:t>吉尔吉斯共和国</w:t>
      </w:r>
      <w:r w:rsidR="007C2707">
        <w:rPr>
          <w:rFonts w:hint="eastAsia"/>
          <w:sz w:val="24"/>
          <w:szCs w:val="24"/>
        </w:rPr>
        <w:t>首都</w:t>
      </w:r>
      <w:r w:rsidR="00642012">
        <w:rPr>
          <w:rFonts w:hint="eastAsia"/>
          <w:sz w:val="24"/>
          <w:szCs w:val="24"/>
        </w:rPr>
        <w:t>比什凯克市政府</w:t>
      </w:r>
      <w:bookmarkEnd w:id="12"/>
      <w:r w:rsidR="00642012">
        <w:rPr>
          <w:sz w:val="24"/>
          <w:szCs w:val="24"/>
        </w:rPr>
        <w:t>和</w:t>
      </w:r>
      <w:r w:rsidR="00642012">
        <w:rPr>
          <w:rFonts w:hint="eastAsia"/>
          <w:sz w:val="24"/>
          <w:szCs w:val="24"/>
        </w:rPr>
        <w:t>公司协商一致，</w:t>
      </w:r>
      <w:r w:rsidR="007C2707" w:rsidRPr="007C2707">
        <w:rPr>
          <w:rFonts w:hint="eastAsia"/>
          <w:sz w:val="24"/>
          <w:szCs w:val="24"/>
        </w:rPr>
        <w:t>公司董事长戴道国与吉尔吉斯共和国</w:t>
      </w:r>
      <w:r w:rsidR="007C2707">
        <w:rPr>
          <w:rFonts w:hint="eastAsia"/>
          <w:sz w:val="24"/>
          <w:szCs w:val="24"/>
        </w:rPr>
        <w:t>首都</w:t>
      </w:r>
      <w:r w:rsidR="007C2707" w:rsidRPr="007C2707">
        <w:rPr>
          <w:rFonts w:hint="eastAsia"/>
          <w:sz w:val="24"/>
          <w:szCs w:val="24"/>
        </w:rPr>
        <w:t>比什凯克市政府市长</w:t>
      </w:r>
      <w:r w:rsidR="00892B4C" w:rsidRPr="00892B4C">
        <w:rPr>
          <w:rFonts w:hint="eastAsia"/>
          <w:sz w:val="24"/>
          <w:szCs w:val="24"/>
        </w:rPr>
        <w:t>艾别克·朱努沙利耶夫（</w:t>
      </w:r>
      <w:r w:rsidR="00892B4C" w:rsidRPr="00892B4C">
        <w:rPr>
          <w:rFonts w:ascii="等线" w:eastAsia="等线" w:hAnsi="等线" w:hint="eastAsia"/>
          <w:sz w:val="24"/>
          <w:szCs w:val="24"/>
        </w:rPr>
        <w:t>А</w:t>
      </w:r>
      <w:r w:rsidR="00892B4C" w:rsidRPr="00892B4C">
        <w:rPr>
          <w:rFonts w:ascii="等线" w:eastAsia="等线" w:hAnsi="等线"/>
          <w:sz w:val="24"/>
          <w:szCs w:val="24"/>
        </w:rPr>
        <w:t>.</w:t>
      </w:r>
      <w:proofErr w:type="spellStart"/>
      <w:r w:rsidR="00892B4C" w:rsidRPr="00892B4C">
        <w:rPr>
          <w:rFonts w:ascii="等线" w:eastAsia="等线" w:hAnsi="等线"/>
          <w:sz w:val="24"/>
          <w:szCs w:val="24"/>
        </w:rPr>
        <w:t>Дж.Джунушалиев</w:t>
      </w:r>
      <w:proofErr w:type="spellEnd"/>
      <w:r w:rsidR="00892B4C" w:rsidRPr="00892B4C">
        <w:rPr>
          <w:sz w:val="24"/>
          <w:szCs w:val="24"/>
        </w:rPr>
        <w:t>）</w:t>
      </w:r>
      <w:r w:rsidR="00642012">
        <w:rPr>
          <w:rFonts w:hint="eastAsia"/>
          <w:sz w:val="24"/>
          <w:szCs w:val="24"/>
        </w:rPr>
        <w:t>于</w:t>
      </w:r>
      <w:r w:rsidR="00642012">
        <w:rPr>
          <w:sz w:val="24"/>
          <w:szCs w:val="24"/>
        </w:rPr>
        <w:t>2023年11月</w:t>
      </w:r>
      <w:r w:rsidR="00642012">
        <w:rPr>
          <w:rFonts w:hint="eastAsia"/>
          <w:sz w:val="24"/>
          <w:szCs w:val="24"/>
        </w:rPr>
        <w:t>1</w:t>
      </w:r>
      <w:r>
        <w:rPr>
          <w:sz w:val="24"/>
          <w:szCs w:val="24"/>
        </w:rPr>
        <w:t>4</w:t>
      </w:r>
      <w:r w:rsidR="00642012">
        <w:rPr>
          <w:sz w:val="24"/>
          <w:szCs w:val="24"/>
        </w:rPr>
        <w:t>日</w:t>
      </w:r>
      <w:r w:rsidR="00D024AE">
        <w:rPr>
          <w:rFonts w:hint="eastAsia"/>
          <w:sz w:val="24"/>
          <w:szCs w:val="24"/>
        </w:rPr>
        <w:t>在</w:t>
      </w:r>
      <w:r w:rsidR="00D024AE" w:rsidRPr="00D024AE">
        <w:rPr>
          <w:rFonts w:hint="eastAsia"/>
          <w:sz w:val="24"/>
          <w:szCs w:val="24"/>
        </w:rPr>
        <w:t>吉尔吉斯共和国</w:t>
      </w:r>
      <w:r w:rsidR="00DE1711">
        <w:rPr>
          <w:rFonts w:hint="eastAsia"/>
          <w:sz w:val="24"/>
          <w:szCs w:val="24"/>
        </w:rPr>
        <w:t>首都</w:t>
      </w:r>
      <w:r w:rsidR="00D024AE" w:rsidRPr="00D024AE">
        <w:rPr>
          <w:rFonts w:hint="eastAsia"/>
          <w:sz w:val="24"/>
          <w:szCs w:val="24"/>
        </w:rPr>
        <w:t>比什凯克市</w:t>
      </w:r>
      <w:r w:rsidR="00642012">
        <w:rPr>
          <w:sz w:val="24"/>
          <w:szCs w:val="24"/>
        </w:rPr>
        <w:t>签署了</w:t>
      </w:r>
      <w:r w:rsidR="00642012" w:rsidRPr="00642012">
        <w:rPr>
          <w:rFonts w:hint="eastAsia"/>
          <w:sz w:val="24"/>
          <w:szCs w:val="24"/>
        </w:rPr>
        <w:t>《</w:t>
      </w:r>
      <w:r w:rsidR="0022429E" w:rsidRPr="0022429E">
        <w:rPr>
          <w:rFonts w:hint="eastAsia"/>
          <w:sz w:val="24"/>
          <w:szCs w:val="24"/>
        </w:rPr>
        <w:t>垃圾焚烧发电项目框架协议</w:t>
      </w:r>
      <w:r w:rsidR="00642012" w:rsidRPr="00642012">
        <w:rPr>
          <w:rFonts w:hint="eastAsia"/>
          <w:sz w:val="24"/>
          <w:szCs w:val="24"/>
        </w:rPr>
        <w:t>》</w:t>
      </w:r>
      <w:r w:rsidR="00642012">
        <w:rPr>
          <w:sz w:val="24"/>
          <w:szCs w:val="24"/>
        </w:rPr>
        <w:t>。</w:t>
      </w:r>
    </w:p>
    <w:p w14:paraId="4036500E" w14:textId="77777777" w:rsidR="00C37BF5" w:rsidRDefault="00000000">
      <w:pPr>
        <w:spacing w:line="400" w:lineRule="exact"/>
        <w:ind w:firstLineChars="200" w:firstLine="482"/>
        <w:rPr>
          <w:b/>
          <w:bCs/>
          <w:sz w:val="24"/>
          <w:szCs w:val="24"/>
        </w:rPr>
      </w:pPr>
      <w:r>
        <w:rPr>
          <w:rFonts w:hint="eastAsia"/>
          <w:b/>
          <w:bCs/>
          <w:sz w:val="24"/>
          <w:szCs w:val="24"/>
        </w:rPr>
        <w:t>二、框架协议的主要内容</w:t>
      </w:r>
    </w:p>
    <w:p w14:paraId="7EAA0C4A" w14:textId="77777777" w:rsidR="00C37BF5" w:rsidRPr="0077165D" w:rsidRDefault="00000000">
      <w:pPr>
        <w:spacing w:line="400" w:lineRule="exact"/>
        <w:ind w:firstLineChars="200" w:firstLine="482"/>
        <w:rPr>
          <w:b/>
          <w:bCs/>
          <w:sz w:val="24"/>
          <w:szCs w:val="24"/>
        </w:rPr>
      </w:pPr>
      <w:r w:rsidRPr="0077165D">
        <w:rPr>
          <w:rFonts w:hint="eastAsia"/>
          <w:b/>
          <w:bCs/>
          <w:sz w:val="24"/>
          <w:szCs w:val="24"/>
        </w:rPr>
        <w:t>（一）签署方：</w:t>
      </w:r>
    </w:p>
    <w:p w14:paraId="5CA65F9A" w14:textId="77777777" w:rsidR="00C37BF5" w:rsidRDefault="00000000">
      <w:pPr>
        <w:spacing w:line="400" w:lineRule="exact"/>
        <w:ind w:firstLineChars="200" w:firstLine="480"/>
        <w:rPr>
          <w:sz w:val="24"/>
          <w:szCs w:val="24"/>
        </w:rPr>
      </w:pPr>
      <w:r>
        <w:rPr>
          <w:rFonts w:hint="eastAsia"/>
          <w:sz w:val="24"/>
          <w:szCs w:val="24"/>
        </w:rPr>
        <w:t>甲方：</w:t>
      </w:r>
      <w:r w:rsidR="00642012" w:rsidRPr="00642012">
        <w:rPr>
          <w:rFonts w:hint="eastAsia"/>
          <w:sz w:val="24"/>
          <w:szCs w:val="24"/>
        </w:rPr>
        <w:t>吉尔吉斯共和国比什凯克市政府</w:t>
      </w:r>
    </w:p>
    <w:p w14:paraId="75AE865C" w14:textId="77777777" w:rsidR="00C37BF5" w:rsidRDefault="00000000">
      <w:pPr>
        <w:spacing w:line="400" w:lineRule="exact"/>
        <w:ind w:firstLineChars="200" w:firstLine="480"/>
        <w:rPr>
          <w:sz w:val="24"/>
          <w:szCs w:val="24"/>
        </w:rPr>
      </w:pPr>
      <w:r>
        <w:rPr>
          <w:rFonts w:hint="eastAsia"/>
          <w:sz w:val="24"/>
          <w:szCs w:val="24"/>
        </w:rPr>
        <w:t>乙方：湖南军信环保股份有限公司</w:t>
      </w:r>
    </w:p>
    <w:p w14:paraId="43657B72" w14:textId="77777777" w:rsidR="00C37BF5" w:rsidRPr="0077165D" w:rsidRDefault="00000000">
      <w:pPr>
        <w:spacing w:line="400" w:lineRule="exact"/>
        <w:ind w:firstLineChars="200" w:firstLine="482"/>
        <w:rPr>
          <w:b/>
          <w:bCs/>
          <w:sz w:val="24"/>
          <w:szCs w:val="24"/>
        </w:rPr>
      </w:pPr>
      <w:r w:rsidRPr="0077165D">
        <w:rPr>
          <w:rFonts w:hint="eastAsia"/>
          <w:b/>
          <w:bCs/>
          <w:sz w:val="24"/>
          <w:szCs w:val="24"/>
        </w:rPr>
        <w:lastRenderedPageBreak/>
        <w:t>（二）主要内容</w:t>
      </w:r>
    </w:p>
    <w:p w14:paraId="273DA05A" w14:textId="77777777" w:rsidR="00C37BF5" w:rsidRDefault="00000000">
      <w:pPr>
        <w:spacing w:line="400" w:lineRule="exact"/>
        <w:ind w:firstLineChars="200" w:firstLine="482"/>
        <w:rPr>
          <w:b/>
          <w:bCs/>
          <w:sz w:val="24"/>
          <w:szCs w:val="24"/>
        </w:rPr>
      </w:pPr>
      <w:r>
        <w:rPr>
          <w:rFonts w:hint="eastAsia"/>
          <w:b/>
          <w:bCs/>
          <w:sz w:val="24"/>
          <w:szCs w:val="24"/>
        </w:rPr>
        <w:t>1、项目合作范围</w:t>
      </w:r>
    </w:p>
    <w:p w14:paraId="339E393A" w14:textId="51CB04B2" w:rsidR="006823A1" w:rsidRPr="006823A1" w:rsidRDefault="006823A1" w:rsidP="006823A1">
      <w:pPr>
        <w:spacing w:line="400" w:lineRule="exact"/>
        <w:ind w:firstLineChars="200" w:firstLine="480"/>
        <w:rPr>
          <w:sz w:val="24"/>
          <w:szCs w:val="24"/>
        </w:rPr>
      </w:pPr>
      <w:r w:rsidRPr="006823A1">
        <w:rPr>
          <w:rFonts w:hint="eastAsia"/>
          <w:sz w:val="24"/>
          <w:szCs w:val="24"/>
        </w:rPr>
        <w:t>经甲乙双方协商一致，确定由乙方实施吉尔吉斯共和国比什凯克市垃圾焚烧发电项目。经项目可行性研究确认后，甲方拟与项目公司（指：由乙方全资或控股的项目运营公司）签订投资协议。</w:t>
      </w:r>
    </w:p>
    <w:p w14:paraId="4CF67F50" w14:textId="77777777" w:rsidR="007901A9" w:rsidRDefault="006823A1" w:rsidP="006823A1">
      <w:pPr>
        <w:spacing w:line="400" w:lineRule="exact"/>
        <w:ind w:firstLineChars="200" w:firstLine="480"/>
        <w:rPr>
          <w:sz w:val="24"/>
          <w:szCs w:val="24"/>
        </w:rPr>
      </w:pPr>
      <w:r w:rsidRPr="006823A1">
        <w:rPr>
          <w:rFonts w:hint="eastAsia"/>
          <w:sz w:val="24"/>
          <w:szCs w:val="24"/>
        </w:rPr>
        <w:t>甲方根据投资协议约定，将本项目的特许经营权授予项目公司，由项目公司负责项目的投融资、勘察设计、建设、运营维护、处置项目产品，并享有获取相应合理回报的权利。</w:t>
      </w:r>
    </w:p>
    <w:p w14:paraId="0A3E5FDA" w14:textId="3D49A2C7" w:rsidR="00C37BF5" w:rsidRDefault="006823A1" w:rsidP="006823A1">
      <w:pPr>
        <w:spacing w:line="400" w:lineRule="exact"/>
        <w:ind w:firstLineChars="200" w:firstLine="480"/>
        <w:rPr>
          <w:sz w:val="24"/>
          <w:szCs w:val="24"/>
        </w:rPr>
      </w:pPr>
      <w:r w:rsidRPr="006823A1">
        <w:rPr>
          <w:rFonts w:hint="eastAsia"/>
          <w:sz w:val="24"/>
          <w:szCs w:val="24"/>
        </w:rPr>
        <w:t>在项目开发期、运营期及合作范围内，甲方承诺乙方享有项目服务区域内全部垃圾的处置权利。根据投资协议及相关合同约定，甲方承诺保护乙方的特许经营权。</w:t>
      </w:r>
    </w:p>
    <w:p w14:paraId="15EFE08D" w14:textId="77777777" w:rsidR="00C37BF5" w:rsidRDefault="00000000">
      <w:pPr>
        <w:spacing w:line="400" w:lineRule="exact"/>
        <w:ind w:firstLineChars="200" w:firstLine="482"/>
        <w:rPr>
          <w:b/>
          <w:bCs/>
          <w:sz w:val="24"/>
          <w:szCs w:val="24"/>
        </w:rPr>
      </w:pPr>
      <w:r>
        <w:rPr>
          <w:rFonts w:hint="eastAsia"/>
          <w:b/>
          <w:bCs/>
          <w:sz w:val="24"/>
          <w:szCs w:val="24"/>
        </w:rPr>
        <w:t>2、特许经营期</w:t>
      </w:r>
    </w:p>
    <w:p w14:paraId="2E864E17" w14:textId="19CEACC2" w:rsidR="00C37BF5" w:rsidRDefault="006823A1" w:rsidP="006823A1">
      <w:pPr>
        <w:spacing w:line="400" w:lineRule="exact"/>
        <w:ind w:firstLineChars="200" w:firstLine="480"/>
        <w:rPr>
          <w:sz w:val="24"/>
          <w:szCs w:val="24"/>
        </w:rPr>
      </w:pPr>
      <w:r w:rsidRPr="006823A1">
        <w:rPr>
          <w:rFonts w:hint="eastAsia"/>
          <w:sz w:val="24"/>
          <w:szCs w:val="24"/>
        </w:rPr>
        <w:t>本项目特许经营期为</w:t>
      </w:r>
      <w:r w:rsidRPr="006823A1">
        <w:rPr>
          <w:sz w:val="24"/>
          <w:szCs w:val="24"/>
        </w:rPr>
        <w:t xml:space="preserve"> 35 年（含建设期），具体期限将</w:t>
      </w:r>
      <w:r w:rsidRPr="006823A1">
        <w:rPr>
          <w:rFonts w:hint="eastAsia"/>
          <w:sz w:val="24"/>
          <w:szCs w:val="24"/>
        </w:rPr>
        <w:t>在投资协议中明确。特许经营期届满，甲乙双方另行商谈续签合同等事宜。</w:t>
      </w:r>
    </w:p>
    <w:p w14:paraId="716EA0E1" w14:textId="77777777" w:rsidR="00C37BF5" w:rsidRDefault="00000000">
      <w:pPr>
        <w:spacing w:line="400" w:lineRule="exact"/>
        <w:ind w:firstLineChars="200" w:firstLine="482"/>
        <w:rPr>
          <w:b/>
          <w:bCs/>
          <w:sz w:val="24"/>
          <w:szCs w:val="24"/>
        </w:rPr>
      </w:pPr>
      <w:r>
        <w:rPr>
          <w:rFonts w:hint="eastAsia"/>
          <w:b/>
          <w:bCs/>
          <w:sz w:val="24"/>
          <w:szCs w:val="24"/>
        </w:rPr>
        <w:t>3、项目规模</w:t>
      </w:r>
    </w:p>
    <w:p w14:paraId="2EF21C45" w14:textId="250F1712" w:rsidR="00D024AE" w:rsidRPr="00D024AE" w:rsidRDefault="00D024AE" w:rsidP="00D024AE">
      <w:pPr>
        <w:spacing w:line="400" w:lineRule="exact"/>
        <w:ind w:firstLineChars="200" w:firstLine="480"/>
        <w:rPr>
          <w:sz w:val="24"/>
          <w:szCs w:val="24"/>
        </w:rPr>
      </w:pPr>
      <w:r w:rsidRPr="00D024AE">
        <w:rPr>
          <w:rFonts w:hint="eastAsia"/>
          <w:sz w:val="24"/>
          <w:szCs w:val="24"/>
        </w:rPr>
        <w:t>本项目垃圾处理规模规划为</w:t>
      </w:r>
      <w:r w:rsidRPr="00D024AE">
        <w:rPr>
          <w:sz w:val="24"/>
          <w:szCs w:val="24"/>
        </w:rPr>
        <w:t xml:space="preserve"> 3000 吨/日，乙方根据甲方</w:t>
      </w:r>
      <w:r w:rsidRPr="00D024AE">
        <w:rPr>
          <w:rFonts w:hint="eastAsia"/>
          <w:sz w:val="24"/>
          <w:szCs w:val="24"/>
        </w:rPr>
        <w:t>要求分期建设。初期先由乙方建设一个处理规模为</w:t>
      </w:r>
      <w:r w:rsidRPr="00D024AE">
        <w:rPr>
          <w:sz w:val="24"/>
          <w:szCs w:val="24"/>
        </w:rPr>
        <w:t xml:space="preserve"> 850 吨/</w:t>
      </w:r>
      <w:r w:rsidRPr="00D024AE">
        <w:rPr>
          <w:rFonts w:hint="eastAsia"/>
          <w:sz w:val="24"/>
          <w:szCs w:val="24"/>
        </w:rPr>
        <w:t>日的垃圾焚烧发电厂，后期再根据甲方提供的楚河州比什凯克市垃圾量以及政府的要求，由乙方新建垃圾焚烧厂处理新增垃圾。具体垃圾量及项目处理规模将在投资协议与特许经营合同中明确。</w:t>
      </w:r>
    </w:p>
    <w:p w14:paraId="3C1EDC1A" w14:textId="4EF4D64B" w:rsidR="00C37BF5" w:rsidRDefault="00D024AE" w:rsidP="00D024AE">
      <w:pPr>
        <w:spacing w:line="400" w:lineRule="exact"/>
        <w:ind w:firstLineChars="200" w:firstLine="480"/>
        <w:rPr>
          <w:sz w:val="24"/>
          <w:szCs w:val="24"/>
        </w:rPr>
      </w:pPr>
      <w:r w:rsidRPr="00D024AE">
        <w:rPr>
          <w:rFonts w:hint="eastAsia"/>
          <w:sz w:val="24"/>
          <w:szCs w:val="24"/>
        </w:rPr>
        <w:t>项目的环保及排放标准按照中华人民共和国及吉尔吉斯共和国现有标准执行，且不违反国际标准。</w:t>
      </w:r>
    </w:p>
    <w:p w14:paraId="06EE9329" w14:textId="77777777" w:rsidR="00C37BF5" w:rsidRDefault="00000000">
      <w:pPr>
        <w:spacing w:line="400" w:lineRule="exact"/>
        <w:ind w:firstLineChars="200" w:firstLine="482"/>
        <w:rPr>
          <w:b/>
          <w:bCs/>
          <w:sz w:val="24"/>
          <w:szCs w:val="24"/>
        </w:rPr>
      </w:pPr>
      <w:r>
        <w:rPr>
          <w:rFonts w:hint="eastAsia"/>
          <w:b/>
          <w:bCs/>
          <w:sz w:val="24"/>
          <w:szCs w:val="24"/>
        </w:rPr>
        <w:t>4、项目建设</w:t>
      </w:r>
    </w:p>
    <w:p w14:paraId="09904AD7" w14:textId="34FB8B91" w:rsidR="00C37BF5" w:rsidRDefault="00000000" w:rsidP="00D024AE">
      <w:pPr>
        <w:spacing w:line="400" w:lineRule="exact"/>
        <w:ind w:firstLineChars="200" w:firstLine="480"/>
        <w:rPr>
          <w:sz w:val="24"/>
          <w:szCs w:val="24"/>
        </w:rPr>
      </w:pPr>
      <w:r>
        <w:rPr>
          <w:rFonts w:hint="eastAsia"/>
          <w:sz w:val="24"/>
          <w:szCs w:val="24"/>
        </w:rPr>
        <w:t>4</w:t>
      </w:r>
      <w:r>
        <w:rPr>
          <w:sz w:val="24"/>
          <w:szCs w:val="24"/>
        </w:rPr>
        <w:t xml:space="preserve">.1 </w:t>
      </w:r>
      <w:r w:rsidR="00D024AE" w:rsidRPr="00D024AE">
        <w:rPr>
          <w:rFonts w:hint="eastAsia"/>
          <w:sz w:val="24"/>
          <w:szCs w:val="24"/>
        </w:rPr>
        <w:t>项目建设用地由甲方负责免费提供，并由乙方负责办理相关用地手续以及承担产生的相关费用，且由甲方负责项目周边居民的关系协调、用地及基础设施、政府相关部门的关系协调，协助项目建设和运营。若项目建设用地提供时间晚于约定的时间，则特许经营期顺延相应的时间。</w:t>
      </w:r>
    </w:p>
    <w:p w14:paraId="7F93BD65" w14:textId="5C4D4482" w:rsidR="00C37BF5" w:rsidRDefault="00000000" w:rsidP="00D024AE">
      <w:pPr>
        <w:spacing w:line="400" w:lineRule="exact"/>
        <w:ind w:firstLineChars="200" w:firstLine="480"/>
        <w:rPr>
          <w:sz w:val="24"/>
          <w:szCs w:val="24"/>
        </w:rPr>
      </w:pPr>
      <w:r>
        <w:rPr>
          <w:rFonts w:hint="eastAsia"/>
          <w:sz w:val="24"/>
          <w:szCs w:val="24"/>
        </w:rPr>
        <w:t>4</w:t>
      </w:r>
      <w:r>
        <w:rPr>
          <w:sz w:val="24"/>
          <w:szCs w:val="24"/>
        </w:rPr>
        <w:t xml:space="preserve">.2 </w:t>
      </w:r>
      <w:r w:rsidR="00D024AE" w:rsidRPr="00D024AE">
        <w:rPr>
          <w:rFonts w:hint="eastAsia"/>
          <w:sz w:val="24"/>
          <w:szCs w:val="24"/>
        </w:rPr>
        <w:t>项目建设所需的市政管网由甲方协助提供满足要求的接驳点。市政管网的开发建设由乙方按照技术规范实施，产生的相关费用按当地收费标准另行计算。甲方负责提供现有道路基础设施，并确保垃圾、设备及材料能顺利运输到项目现场。</w:t>
      </w:r>
    </w:p>
    <w:p w14:paraId="61D5BABC" w14:textId="77777777" w:rsidR="00C37BF5" w:rsidRDefault="00000000">
      <w:pPr>
        <w:spacing w:line="400" w:lineRule="exact"/>
        <w:ind w:firstLineChars="200" w:firstLine="482"/>
        <w:rPr>
          <w:b/>
          <w:bCs/>
          <w:sz w:val="24"/>
          <w:szCs w:val="24"/>
        </w:rPr>
      </w:pPr>
      <w:r>
        <w:rPr>
          <w:rFonts w:hint="eastAsia"/>
          <w:b/>
          <w:bCs/>
          <w:sz w:val="24"/>
          <w:szCs w:val="24"/>
        </w:rPr>
        <w:t>5、垃圾处理费和上网电价</w:t>
      </w:r>
    </w:p>
    <w:p w14:paraId="5F699FA1" w14:textId="0BACF251" w:rsidR="00C37BF5" w:rsidRDefault="00D024AE" w:rsidP="00D024AE">
      <w:pPr>
        <w:spacing w:line="400" w:lineRule="exact"/>
        <w:ind w:firstLineChars="200" w:firstLine="480"/>
        <w:rPr>
          <w:sz w:val="24"/>
          <w:szCs w:val="24"/>
        </w:rPr>
      </w:pPr>
      <w:r w:rsidRPr="00D024AE">
        <w:rPr>
          <w:rFonts w:hint="eastAsia"/>
          <w:sz w:val="24"/>
          <w:szCs w:val="24"/>
        </w:rPr>
        <w:t>经可行性研究确认后，本项目的垃圾处理费和上网电价由甲方根据项目实施方案中的总投资额、运行成本、税金、内部收益率（税后）以及相关费用进行测算，经甲乙双方认可后确定，并最终以所签署的特许经营合同为准。</w:t>
      </w:r>
    </w:p>
    <w:p w14:paraId="721DBB74" w14:textId="77777777" w:rsidR="00C37BF5" w:rsidRDefault="00000000">
      <w:pPr>
        <w:spacing w:line="400" w:lineRule="exact"/>
        <w:ind w:firstLineChars="200" w:firstLine="482"/>
        <w:rPr>
          <w:b/>
          <w:bCs/>
          <w:sz w:val="24"/>
          <w:szCs w:val="24"/>
        </w:rPr>
      </w:pPr>
      <w:r>
        <w:rPr>
          <w:rFonts w:hint="eastAsia"/>
          <w:b/>
          <w:bCs/>
          <w:sz w:val="24"/>
          <w:szCs w:val="24"/>
        </w:rPr>
        <w:t>6、双方的权利和义务</w:t>
      </w:r>
    </w:p>
    <w:p w14:paraId="79AD346B" w14:textId="328409B9" w:rsidR="00C37BF5" w:rsidRDefault="00000000" w:rsidP="00D024AE">
      <w:pPr>
        <w:spacing w:line="400" w:lineRule="exact"/>
        <w:ind w:firstLineChars="200" w:firstLine="480"/>
        <w:rPr>
          <w:sz w:val="24"/>
          <w:szCs w:val="24"/>
        </w:rPr>
      </w:pPr>
      <w:r>
        <w:rPr>
          <w:rFonts w:hint="eastAsia"/>
          <w:sz w:val="24"/>
          <w:szCs w:val="24"/>
        </w:rPr>
        <w:t>6</w:t>
      </w:r>
      <w:r>
        <w:rPr>
          <w:sz w:val="24"/>
          <w:szCs w:val="24"/>
        </w:rPr>
        <w:t xml:space="preserve">.1 </w:t>
      </w:r>
      <w:r w:rsidR="00D024AE" w:rsidRPr="00D024AE">
        <w:rPr>
          <w:rFonts w:hint="eastAsia"/>
          <w:sz w:val="24"/>
          <w:szCs w:val="24"/>
        </w:rPr>
        <w:t>乙方具有签订本协议的权利以及在提供项目可行性研究后签署投资协议和特许经营合同的权利，并依照本协议履行相关义务。</w:t>
      </w:r>
    </w:p>
    <w:p w14:paraId="04C0E0A4" w14:textId="5068C453" w:rsidR="00C37BF5" w:rsidRDefault="00000000" w:rsidP="00D024AE">
      <w:pPr>
        <w:spacing w:line="400" w:lineRule="exact"/>
        <w:ind w:firstLineChars="200" w:firstLine="480"/>
        <w:rPr>
          <w:sz w:val="24"/>
          <w:szCs w:val="24"/>
        </w:rPr>
      </w:pPr>
      <w:r>
        <w:rPr>
          <w:rFonts w:hint="eastAsia"/>
          <w:sz w:val="24"/>
          <w:szCs w:val="24"/>
        </w:rPr>
        <w:t>6</w:t>
      </w:r>
      <w:r>
        <w:rPr>
          <w:sz w:val="24"/>
          <w:szCs w:val="24"/>
        </w:rPr>
        <w:t xml:space="preserve">.2 </w:t>
      </w:r>
      <w:r w:rsidR="00D024AE" w:rsidRPr="00D024AE">
        <w:rPr>
          <w:rFonts w:hint="eastAsia"/>
          <w:sz w:val="24"/>
          <w:szCs w:val="24"/>
        </w:rPr>
        <w:t>甲方应当按照吉尔吉斯共和国适用法律，在其权限和管辖范围内，协助乙方设立项目公司以及办理开展合作范围内工作所必需的许可、准证等文件。</w:t>
      </w:r>
      <w:r>
        <w:rPr>
          <w:sz w:val="24"/>
          <w:szCs w:val="24"/>
        </w:rPr>
        <w:t xml:space="preserve"> </w:t>
      </w:r>
    </w:p>
    <w:p w14:paraId="7676991D" w14:textId="21728673" w:rsidR="00C37BF5" w:rsidRDefault="00000000" w:rsidP="00D024AE">
      <w:pPr>
        <w:spacing w:line="400" w:lineRule="exact"/>
        <w:ind w:firstLineChars="200" w:firstLine="480"/>
        <w:rPr>
          <w:sz w:val="24"/>
          <w:szCs w:val="24"/>
        </w:rPr>
      </w:pPr>
      <w:r>
        <w:rPr>
          <w:rFonts w:hint="eastAsia"/>
          <w:sz w:val="24"/>
          <w:szCs w:val="24"/>
        </w:rPr>
        <w:t>6</w:t>
      </w:r>
      <w:r>
        <w:rPr>
          <w:sz w:val="24"/>
          <w:szCs w:val="24"/>
        </w:rPr>
        <w:t xml:space="preserve">.3 </w:t>
      </w:r>
      <w:r w:rsidR="00D024AE" w:rsidRPr="00D024AE">
        <w:rPr>
          <w:rFonts w:hint="eastAsia"/>
          <w:sz w:val="24"/>
          <w:szCs w:val="24"/>
        </w:rPr>
        <w:t>甲方保证，自项目开始运营日起，负责将《投资协议》及特许经营合同所约定的比什凯克市所有符合项目焚烧技术要求的垃圾运送至本项目处理，并竭力防止垃圾跨区域运出楚河州比什凯克市，确保项目正常负荷运行。</w:t>
      </w:r>
    </w:p>
    <w:p w14:paraId="3EDCEDD0" w14:textId="143533FD" w:rsidR="00C37BF5" w:rsidRDefault="00000000" w:rsidP="00D024AE">
      <w:pPr>
        <w:spacing w:line="400" w:lineRule="exact"/>
        <w:ind w:firstLineChars="200" w:firstLine="480"/>
        <w:rPr>
          <w:sz w:val="24"/>
          <w:szCs w:val="24"/>
        </w:rPr>
      </w:pPr>
      <w:r>
        <w:rPr>
          <w:rFonts w:hint="eastAsia"/>
          <w:sz w:val="24"/>
          <w:szCs w:val="24"/>
        </w:rPr>
        <w:t>6</w:t>
      </w:r>
      <w:r>
        <w:rPr>
          <w:sz w:val="24"/>
          <w:szCs w:val="24"/>
        </w:rPr>
        <w:t xml:space="preserve">.4 </w:t>
      </w:r>
      <w:r w:rsidR="00D024AE" w:rsidRPr="00D024AE">
        <w:rPr>
          <w:rFonts w:hint="eastAsia"/>
          <w:sz w:val="24"/>
          <w:szCs w:val="24"/>
        </w:rPr>
        <w:t>自项目开始运营日起，甲方平均每日向乙方提供垃圾的基本供应量应符合特许经营合同中所规定的垃圾量。</w:t>
      </w:r>
    </w:p>
    <w:p w14:paraId="3C9C1D34" w14:textId="4CDE2B80" w:rsidR="00C37BF5" w:rsidRDefault="00000000" w:rsidP="00D024AE">
      <w:pPr>
        <w:spacing w:line="400" w:lineRule="exact"/>
        <w:ind w:firstLineChars="200" w:firstLine="480"/>
        <w:rPr>
          <w:sz w:val="24"/>
          <w:szCs w:val="24"/>
        </w:rPr>
      </w:pPr>
      <w:r>
        <w:rPr>
          <w:rFonts w:hint="eastAsia"/>
          <w:sz w:val="24"/>
          <w:szCs w:val="24"/>
        </w:rPr>
        <w:t>6</w:t>
      </w:r>
      <w:r>
        <w:rPr>
          <w:sz w:val="24"/>
          <w:szCs w:val="24"/>
        </w:rPr>
        <w:t xml:space="preserve">.5 </w:t>
      </w:r>
      <w:r w:rsidR="00D024AE" w:rsidRPr="00D024AE">
        <w:rPr>
          <w:rFonts w:hint="eastAsia"/>
          <w:sz w:val="24"/>
          <w:szCs w:val="24"/>
        </w:rPr>
        <w:t>甲方先期提供并保证本项目所需的上述建设用地、运输道路、水、电、气以及上网外线接入等基础条件。乙方保证满足项目的建设和运营要求，并随比什凯克市垃圾量的增加，根据投资协议约定，逐步扩大垃圾处理规模。协议期间，甲方提供现有的情况良好的填埋场作为本项目配套的飞灰填埋场使用。</w:t>
      </w:r>
    </w:p>
    <w:p w14:paraId="4C192929" w14:textId="7E3F3F60" w:rsidR="00C37BF5" w:rsidRDefault="00000000" w:rsidP="00D024AE">
      <w:pPr>
        <w:spacing w:line="400" w:lineRule="exact"/>
        <w:ind w:firstLineChars="200" w:firstLine="480"/>
        <w:rPr>
          <w:sz w:val="24"/>
          <w:szCs w:val="24"/>
        </w:rPr>
      </w:pPr>
      <w:r>
        <w:rPr>
          <w:rFonts w:hint="eastAsia"/>
          <w:sz w:val="24"/>
          <w:szCs w:val="24"/>
        </w:rPr>
        <w:t>6</w:t>
      </w:r>
      <w:r>
        <w:rPr>
          <w:sz w:val="24"/>
          <w:szCs w:val="24"/>
        </w:rPr>
        <w:t xml:space="preserve">.6 </w:t>
      </w:r>
      <w:r w:rsidR="00D024AE" w:rsidRPr="00D024AE">
        <w:rPr>
          <w:rFonts w:hint="eastAsia"/>
          <w:sz w:val="24"/>
          <w:szCs w:val="24"/>
        </w:rPr>
        <w:t>在项目建设和运营过程中，乙方所需的工程技术人员、劳务人员、管理人员等与项目建设和运营有关人员的签证均由甲方负责协助办理，并按照劳动监管和移民规定，甲方确保上述人员能及时出</w:t>
      </w:r>
      <w:r w:rsidR="00D024AE" w:rsidRPr="00D024AE">
        <w:rPr>
          <w:sz w:val="24"/>
          <w:szCs w:val="24"/>
        </w:rPr>
        <w:t>/入境。</w:t>
      </w:r>
    </w:p>
    <w:p w14:paraId="7C4CD87E" w14:textId="7836F2EB" w:rsidR="00C37BF5" w:rsidRDefault="00000000" w:rsidP="00D024AE">
      <w:pPr>
        <w:spacing w:line="400" w:lineRule="exact"/>
        <w:ind w:firstLineChars="200" w:firstLine="480"/>
        <w:rPr>
          <w:sz w:val="24"/>
          <w:szCs w:val="24"/>
        </w:rPr>
      </w:pPr>
      <w:r>
        <w:rPr>
          <w:rFonts w:hint="eastAsia"/>
          <w:sz w:val="24"/>
          <w:szCs w:val="24"/>
        </w:rPr>
        <w:t>6</w:t>
      </w:r>
      <w:r>
        <w:rPr>
          <w:sz w:val="24"/>
          <w:szCs w:val="24"/>
        </w:rPr>
        <w:t xml:space="preserve">.7 </w:t>
      </w:r>
      <w:r w:rsidR="00D024AE" w:rsidRPr="00D024AE">
        <w:rPr>
          <w:rFonts w:hint="eastAsia"/>
          <w:sz w:val="24"/>
          <w:szCs w:val="24"/>
        </w:rPr>
        <w:t>甲方承诺在权责范围之内，协助乙方办理免税或按照吉尔吉斯共和国最低标准征税的手续。</w:t>
      </w:r>
    </w:p>
    <w:p w14:paraId="2B1A485F" w14:textId="39C0EC74" w:rsidR="00C37BF5" w:rsidRDefault="00000000" w:rsidP="00D024AE">
      <w:pPr>
        <w:spacing w:line="400" w:lineRule="exact"/>
        <w:ind w:firstLineChars="200" w:firstLine="480"/>
        <w:rPr>
          <w:sz w:val="24"/>
          <w:szCs w:val="24"/>
        </w:rPr>
      </w:pPr>
      <w:r>
        <w:rPr>
          <w:rFonts w:hint="eastAsia"/>
          <w:sz w:val="24"/>
          <w:szCs w:val="24"/>
        </w:rPr>
        <w:t>6</w:t>
      </w:r>
      <w:r>
        <w:rPr>
          <w:sz w:val="24"/>
          <w:szCs w:val="24"/>
        </w:rPr>
        <w:t xml:space="preserve">.8 </w:t>
      </w:r>
      <w:r w:rsidR="00D024AE" w:rsidRPr="00D024AE">
        <w:rPr>
          <w:rFonts w:hint="eastAsia"/>
          <w:sz w:val="24"/>
          <w:szCs w:val="24"/>
        </w:rPr>
        <w:t>乙方有权根据投资协议和特许经营合同约定享有合理的收益，且项目产生的属于乙方的收益和利润，乙方享有自由支配和转移的权利。</w:t>
      </w:r>
    </w:p>
    <w:p w14:paraId="2A571BE3" w14:textId="5B70CB9A" w:rsidR="00C37BF5" w:rsidRDefault="00000000" w:rsidP="00D024AE">
      <w:pPr>
        <w:spacing w:line="400" w:lineRule="exact"/>
        <w:ind w:firstLineChars="200" w:firstLine="480"/>
        <w:rPr>
          <w:sz w:val="24"/>
          <w:szCs w:val="24"/>
        </w:rPr>
      </w:pPr>
      <w:r>
        <w:rPr>
          <w:rFonts w:hint="eastAsia"/>
          <w:sz w:val="24"/>
          <w:szCs w:val="24"/>
        </w:rPr>
        <w:t>6</w:t>
      </w:r>
      <w:r>
        <w:rPr>
          <w:sz w:val="24"/>
          <w:szCs w:val="24"/>
        </w:rPr>
        <w:t xml:space="preserve">.9 </w:t>
      </w:r>
      <w:r w:rsidR="00D024AE" w:rsidRPr="00D024AE">
        <w:rPr>
          <w:rFonts w:hint="eastAsia"/>
          <w:sz w:val="24"/>
          <w:szCs w:val="24"/>
        </w:rPr>
        <w:t>乙方应当负责组织项目公司的注册设立工作，并准备设计方案和工程造价文件，督促项目公司与甲方签订投资协议及其他文件，并确保项目的建设、调试与运行。</w:t>
      </w:r>
      <w:r>
        <w:rPr>
          <w:sz w:val="24"/>
          <w:szCs w:val="24"/>
        </w:rPr>
        <w:t xml:space="preserve"> </w:t>
      </w:r>
    </w:p>
    <w:p w14:paraId="6AD58FDB" w14:textId="3F45921C" w:rsidR="00C37BF5" w:rsidRDefault="00000000" w:rsidP="00D024AE">
      <w:pPr>
        <w:spacing w:line="400" w:lineRule="exact"/>
        <w:ind w:firstLineChars="200" w:firstLine="480"/>
        <w:rPr>
          <w:sz w:val="24"/>
          <w:szCs w:val="24"/>
        </w:rPr>
      </w:pPr>
      <w:r>
        <w:rPr>
          <w:rFonts w:hint="eastAsia"/>
          <w:sz w:val="24"/>
          <w:szCs w:val="24"/>
        </w:rPr>
        <w:t>6.1</w:t>
      </w:r>
      <w:r>
        <w:rPr>
          <w:sz w:val="24"/>
          <w:szCs w:val="24"/>
        </w:rPr>
        <w:t xml:space="preserve">0 </w:t>
      </w:r>
      <w:r w:rsidR="00D024AE" w:rsidRPr="00D024AE">
        <w:rPr>
          <w:rFonts w:hint="eastAsia"/>
          <w:sz w:val="24"/>
          <w:szCs w:val="24"/>
        </w:rPr>
        <w:t>乙方应当保证项目公司在整个特许经营期内按特许经营合同要求，提供生活垃圾焚烧发电服务，遵守吉尔吉斯共和国相关法律法规，并承担环境保护等相关公共责任。</w:t>
      </w:r>
      <w:r>
        <w:rPr>
          <w:sz w:val="24"/>
          <w:szCs w:val="24"/>
        </w:rPr>
        <w:t xml:space="preserve"> </w:t>
      </w:r>
    </w:p>
    <w:p w14:paraId="1DFCADD6" w14:textId="77777777" w:rsidR="00C37BF5" w:rsidRDefault="00000000">
      <w:pPr>
        <w:spacing w:line="400" w:lineRule="exact"/>
        <w:ind w:firstLineChars="200" w:firstLine="482"/>
        <w:rPr>
          <w:b/>
          <w:bCs/>
          <w:sz w:val="24"/>
          <w:szCs w:val="24"/>
        </w:rPr>
      </w:pPr>
      <w:r>
        <w:rPr>
          <w:rFonts w:hint="eastAsia"/>
          <w:b/>
          <w:bCs/>
          <w:sz w:val="24"/>
          <w:szCs w:val="24"/>
        </w:rPr>
        <w:t>7、违约责任</w:t>
      </w:r>
    </w:p>
    <w:p w14:paraId="01A5A62A" w14:textId="3C9491F8" w:rsidR="00642012" w:rsidRDefault="00D024AE" w:rsidP="00D024AE">
      <w:pPr>
        <w:spacing w:line="400" w:lineRule="exact"/>
        <w:ind w:firstLineChars="200" w:firstLine="480"/>
        <w:rPr>
          <w:sz w:val="24"/>
          <w:szCs w:val="24"/>
        </w:rPr>
      </w:pPr>
      <w:r w:rsidRPr="00D024AE">
        <w:rPr>
          <w:rFonts w:hint="eastAsia"/>
          <w:sz w:val="24"/>
          <w:szCs w:val="24"/>
        </w:rPr>
        <w:t>如需终止本协议，双方均有权提前</w:t>
      </w:r>
      <w:r w:rsidRPr="00D024AE">
        <w:rPr>
          <w:sz w:val="24"/>
          <w:szCs w:val="24"/>
        </w:rPr>
        <w:t>30天发出书面通知</w:t>
      </w:r>
      <w:r w:rsidRPr="00D024AE">
        <w:rPr>
          <w:rFonts w:hint="eastAsia"/>
          <w:sz w:val="24"/>
          <w:szCs w:val="24"/>
        </w:rPr>
        <w:t>进行终止。</w:t>
      </w:r>
      <w:r w:rsidR="00642012" w:rsidRPr="00642012">
        <w:rPr>
          <w:sz w:val="24"/>
          <w:szCs w:val="24"/>
        </w:rPr>
        <w:t xml:space="preserve"> </w:t>
      </w:r>
    </w:p>
    <w:p w14:paraId="4AE44E4F" w14:textId="77777777" w:rsidR="00C37BF5" w:rsidRDefault="00000000">
      <w:pPr>
        <w:spacing w:line="400" w:lineRule="exact"/>
        <w:ind w:firstLineChars="200" w:firstLine="482"/>
        <w:rPr>
          <w:b/>
          <w:bCs/>
          <w:sz w:val="24"/>
          <w:szCs w:val="24"/>
        </w:rPr>
      </w:pPr>
      <w:r>
        <w:rPr>
          <w:rFonts w:hint="eastAsia"/>
          <w:b/>
          <w:bCs/>
          <w:sz w:val="24"/>
          <w:szCs w:val="24"/>
        </w:rPr>
        <w:t>8、其他</w:t>
      </w:r>
    </w:p>
    <w:p w14:paraId="339CF741" w14:textId="56EF2176" w:rsidR="00642012" w:rsidRPr="00642012" w:rsidRDefault="00D024AE" w:rsidP="00D024AE">
      <w:pPr>
        <w:spacing w:line="400" w:lineRule="exact"/>
        <w:ind w:firstLineChars="200" w:firstLine="480"/>
        <w:rPr>
          <w:sz w:val="24"/>
          <w:szCs w:val="24"/>
        </w:rPr>
      </w:pPr>
      <w:r w:rsidRPr="00D024AE">
        <w:rPr>
          <w:rFonts w:hint="eastAsia"/>
          <w:sz w:val="24"/>
          <w:szCs w:val="24"/>
        </w:rPr>
        <w:t>本协议签订后，甲乙双方应立即启动本项目前期工作。为完善和进一步明确双方的法律责任、权利和义务关系，确保项目建成后规范运营和管理，双方应在本协议签订后三个月内启动签订投资协议及特许经营合同的相关工作，规范后续项目的建设和运营。</w:t>
      </w:r>
    </w:p>
    <w:bookmarkEnd w:id="3"/>
    <w:bookmarkEnd w:id="10"/>
    <w:p w14:paraId="27C653A7" w14:textId="77777777" w:rsidR="00C37BF5" w:rsidRDefault="00000000">
      <w:pPr>
        <w:spacing w:line="400" w:lineRule="exact"/>
        <w:ind w:firstLineChars="200" w:firstLine="482"/>
        <w:rPr>
          <w:b/>
          <w:bCs/>
          <w:sz w:val="24"/>
          <w:szCs w:val="24"/>
        </w:rPr>
      </w:pPr>
      <w:r>
        <w:rPr>
          <w:rFonts w:hint="eastAsia"/>
          <w:b/>
          <w:bCs/>
          <w:sz w:val="24"/>
          <w:szCs w:val="24"/>
        </w:rPr>
        <w:t>三</w:t>
      </w:r>
      <w:r>
        <w:rPr>
          <w:b/>
          <w:bCs/>
          <w:sz w:val="24"/>
          <w:szCs w:val="24"/>
        </w:rPr>
        <w:t>、</w:t>
      </w:r>
      <w:bookmarkStart w:id="13" w:name="_Hlk150716787"/>
      <w:r>
        <w:rPr>
          <w:rFonts w:hint="eastAsia"/>
          <w:b/>
          <w:bCs/>
          <w:sz w:val="24"/>
          <w:szCs w:val="24"/>
        </w:rPr>
        <w:t>框架协议</w:t>
      </w:r>
      <w:bookmarkEnd w:id="13"/>
      <w:r>
        <w:rPr>
          <w:b/>
          <w:bCs/>
          <w:sz w:val="24"/>
          <w:szCs w:val="24"/>
        </w:rPr>
        <w:t>对公司的影响</w:t>
      </w:r>
    </w:p>
    <w:p w14:paraId="7E83FBBD" w14:textId="77777777" w:rsidR="00C37BF5" w:rsidRDefault="00000000">
      <w:pPr>
        <w:spacing w:line="400" w:lineRule="exact"/>
        <w:ind w:firstLineChars="200" w:firstLine="480"/>
        <w:rPr>
          <w:sz w:val="24"/>
          <w:szCs w:val="24"/>
        </w:rPr>
      </w:pPr>
      <w:r>
        <w:rPr>
          <w:sz w:val="24"/>
          <w:szCs w:val="24"/>
        </w:rPr>
        <w:t>1、</w:t>
      </w:r>
      <w:r>
        <w:rPr>
          <w:rFonts w:hint="eastAsia"/>
          <w:sz w:val="24"/>
          <w:szCs w:val="24"/>
        </w:rPr>
        <w:t>本框架协议载明的合作事项如能顺利推进，有利于扩大公司海外市场业务，从而实现营业收入增长及盈利能力提升，符合公司长期发展战略。</w:t>
      </w:r>
    </w:p>
    <w:p w14:paraId="285D8C34" w14:textId="77777777" w:rsidR="00C37BF5" w:rsidRDefault="00000000">
      <w:pPr>
        <w:spacing w:line="400" w:lineRule="exact"/>
        <w:ind w:firstLineChars="200" w:firstLine="480"/>
        <w:rPr>
          <w:sz w:val="24"/>
          <w:szCs w:val="24"/>
        </w:rPr>
      </w:pPr>
      <w:r>
        <w:rPr>
          <w:sz w:val="24"/>
          <w:szCs w:val="24"/>
        </w:rPr>
        <w:t>2、截至本公告日，本次合作尚未签署正式</w:t>
      </w:r>
      <w:r>
        <w:rPr>
          <w:rFonts w:hint="eastAsia"/>
          <w:sz w:val="24"/>
          <w:szCs w:val="24"/>
        </w:rPr>
        <w:t>的特许经营权</w:t>
      </w:r>
      <w:r>
        <w:rPr>
          <w:sz w:val="24"/>
          <w:szCs w:val="24"/>
        </w:rPr>
        <w:t>协议，亦未正式开展具体合作事宜</w:t>
      </w:r>
      <w:r>
        <w:rPr>
          <w:rFonts w:hint="eastAsia"/>
          <w:sz w:val="24"/>
          <w:szCs w:val="24"/>
        </w:rPr>
        <w:t>，</w:t>
      </w:r>
      <w:r>
        <w:rPr>
          <w:sz w:val="24"/>
          <w:szCs w:val="24"/>
        </w:rPr>
        <w:t>对公司本年度及后续年度财务状况和经营成果</w:t>
      </w:r>
      <w:r>
        <w:rPr>
          <w:rFonts w:hint="eastAsia"/>
          <w:sz w:val="24"/>
          <w:szCs w:val="24"/>
        </w:rPr>
        <w:t>等影响</w:t>
      </w:r>
      <w:r>
        <w:rPr>
          <w:sz w:val="24"/>
          <w:szCs w:val="24"/>
        </w:rPr>
        <w:t>存在不确定性。</w:t>
      </w:r>
    </w:p>
    <w:p w14:paraId="27D87B30" w14:textId="77777777" w:rsidR="00C37BF5" w:rsidRDefault="00000000">
      <w:pPr>
        <w:spacing w:line="400" w:lineRule="exact"/>
        <w:ind w:firstLineChars="200" w:firstLine="480"/>
        <w:rPr>
          <w:sz w:val="24"/>
          <w:szCs w:val="24"/>
        </w:rPr>
      </w:pPr>
      <w:r>
        <w:rPr>
          <w:sz w:val="24"/>
          <w:szCs w:val="24"/>
        </w:rPr>
        <w:t>3、本</w:t>
      </w:r>
      <w:r>
        <w:rPr>
          <w:rFonts w:hint="eastAsia"/>
          <w:sz w:val="24"/>
          <w:szCs w:val="24"/>
        </w:rPr>
        <w:t>框架协议</w:t>
      </w:r>
      <w:r>
        <w:rPr>
          <w:sz w:val="24"/>
          <w:szCs w:val="24"/>
        </w:rPr>
        <w:t>的签署有助于</w:t>
      </w:r>
      <w:r>
        <w:rPr>
          <w:rFonts w:hint="eastAsia"/>
          <w:sz w:val="24"/>
          <w:szCs w:val="24"/>
        </w:rPr>
        <w:t>双方</w:t>
      </w:r>
      <w:r>
        <w:rPr>
          <w:sz w:val="24"/>
          <w:szCs w:val="24"/>
        </w:rPr>
        <w:t>构建长期、稳定、良好的合作关系，不会对公司的业务独立性构成不利影响，公司不会因此对合作方形成重大依赖。</w:t>
      </w:r>
    </w:p>
    <w:p w14:paraId="36FAA12D" w14:textId="77777777" w:rsidR="00C37BF5" w:rsidRDefault="00000000">
      <w:pPr>
        <w:spacing w:line="400" w:lineRule="exact"/>
        <w:ind w:firstLineChars="200" w:firstLine="482"/>
        <w:rPr>
          <w:b/>
          <w:bCs/>
          <w:sz w:val="24"/>
          <w:szCs w:val="24"/>
        </w:rPr>
      </w:pPr>
      <w:r>
        <w:rPr>
          <w:rFonts w:hint="eastAsia"/>
          <w:b/>
          <w:bCs/>
          <w:sz w:val="24"/>
          <w:szCs w:val="24"/>
        </w:rPr>
        <w:t>四</w:t>
      </w:r>
      <w:r>
        <w:rPr>
          <w:b/>
          <w:bCs/>
          <w:sz w:val="24"/>
          <w:szCs w:val="24"/>
        </w:rPr>
        <w:t>、风险提示</w:t>
      </w:r>
    </w:p>
    <w:p w14:paraId="480612CA" w14:textId="7C3BCA8D" w:rsidR="00C37BF5" w:rsidRDefault="00000000">
      <w:pPr>
        <w:spacing w:line="400" w:lineRule="exact"/>
        <w:ind w:firstLineChars="200" w:firstLine="480"/>
        <w:rPr>
          <w:sz w:val="24"/>
          <w:szCs w:val="24"/>
        </w:rPr>
      </w:pPr>
      <w:r>
        <w:rPr>
          <w:sz w:val="24"/>
          <w:szCs w:val="24"/>
        </w:rPr>
        <w:t>1、本</w:t>
      </w:r>
      <w:r>
        <w:rPr>
          <w:rFonts w:hint="eastAsia"/>
          <w:sz w:val="24"/>
          <w:szCs w:val="24"/>
        </w:rPr>
        <w:t>框架协议</w:t>
      </w:r>
      <w:r>
        <w:rPr>
          <w:sz w:val="24"/>
          <w:szCs w:val="24"/>
        </w:rPr>
        <w:t>属于双方达成的意向性约定，后续具体事项需进一步协商确定，</w:t>
      </w:r>
      <w:r>
        <w:rPr>
          <w:rFonts w:hint="eastAsia"/>
          <w:sz w:val="24"/>
          <w:szCs w:val="24"/>
        </w:rPr>
        <w:t>最终能否实施尚存在不确定性</w:t>
      </w:r>
      <w:r w:rsidR="00D24196">
        <w:rPr>
          <w:rFonts w:hint="eastAsia"/>
          <w:sz w:val="24"/>
          <w:szCs w:val="24"/>
        </w:rPr>
        <w:t>。</w:t>
      </w:r>
    </w:p>
    <w:p w14:paraId="2C0BA840" w14:textId="77777777" w:rsidR="00C37BF5" w:rsidRDefault="00000000">
      <w:pPr>
        <w:spacing w:line="400" w:lineRule="exact"/>
        <w:ind w:firstLineChars="200" w:firstLine="480"/>
        <w:rPr>
          <w:sz w:val="24"/>
          <w:szCs w:val="24"/>
        </w:rPr>
      </w:pPr>
      <w:r>
        <w:rPr>
          <w:sz w:val="24"/>
          <w:szCs w:val="24"/>
        </w:rPr>
        <w:t>2、本</w:t>
      </w:r>
      <w:r>
        <w:rPr>
          <w:rFonts w:hint="eastAsia"/>
          <w:sz w:val="24"/>
          <w:szCs w:val="24"/>
        </w:rPr>
        <w:t>框架协议</w:t>
      </w:r>
      <w:r>
        <w:rPr>
          <w:sz w:val="24"/>
          <w:szCs w:val="24"/>
        </w:rPr>
        <w:t>为双方推进具体项目合作奠定的基础，不涉及具体交易金额，对公司本年度及后续年度的财务状况和经营成果的影响尚存在不确定性。</w:t>
      </w:r>
    </w:p>
    <w:p w14:paraId="5642630F" w14:textId="77777777" w:rsidR="00C37BF5" w:rsidRDefault="00000000">
      <w:pPr>
        <w:spacing w:line="400" w:lineRule="exact"/>
        <w:ind w:firstLineChars="200" w:firstLine="480"/>
        <w:rPr>
          <w:sz w:val="24"/>
          <w:szCs w:val="24"/>
        </w:rPr>
      </w:pPr>
      <w:r>
        <w:rPr>
          <w:sz w:val="24"/>
          <w:szCs w:val="24"/>
        </w:rPr>
        <w:t>3、关于本</w:t>
      </w:r>
      <w:r>
        <w:rPr>
          <w:rFonts w:hint="eastAsia"/>
          <w:sz w:val="24"/>
          <w:szCs w:val="24"/>
        </w:rPr>
        <w:t>框架协议</w:t>
      </w:r>
      <w:r>
        <w:rPr>
          <w:sz w:val="24"/>
          <w:szCs w:val="24"/>
        </w:rPr>
        <w:t>涉及的各项后续事宜，公司将严格按照相关法律法规和《公司章程》的有关规定履行相关程序并及时履行信息披露义务，敬请广大投资者注意投资风险。</w:t>
      </w:r>
    </w:p>
    <w:p w14:paraId="4BDF1F0C" w14:textId="77777777" w:rsidR="00C37BF5" w:rsidRDefault="00000000">
      <w:pPr>
        <w:spacing w:line="400" w:lineRule="exact"/>
        <w:ind w:firstLineChars="200" w:firstLine="482"/>
        <w:rPr>
          <w:b/>
          <w:bCs/>
          <w:sz w:val="24"/>
          <w:szCs w:val="24"/>
        </w:rPr>
      </w:pPr>
      <w:r>
        <w:rPr>
          <w:rFonts w:hint="eastAsia"/>
          <w:b/>
          <w:bCs/>
          <w:sz w:val="24"/>
          <w:szCs w:val="24"/>
        </w:rPr>
        <w:t>五、其他相关说明</w:t>
      </w:r>
    </w:p>
    <w:p w14:paraId="49B6FF14" w14:textId="77777777" w:rsidR="00C37BF5" w:rsidRDefault="00000000">
      <w:pPr>
        <w:spacing w:line="400" w:lineRule="exact"/>
        <w:ind w:firstLineChars="200" w:firstLine="480"/>
        <w:rPr>
          <w:sz w:val="24"/>
          <w:szCs w:val="24"/>
        </w:rPr>
      </w:pPr>
      <w:r>
        <w:rPr>
          <w:sz w:val="24"/>
          <w:szCs w:val="24"/>
        </w:rPr>
        <w:t>1、公司最近三年披露的框架协议情况如下：</w:t>
      </w:r>
    </w:p>
    <w:p w14:paraId="0C647571" w14:textId="3FB16AF6" w:rsidR="00C37BF5" w:rsidRDefault="00000000">
      <w:pPr>
        <w:spacing w:line="400" w:lineRule="exact"/>
        <w:ind w:firstLineChars="200" w:firstLine="480"/>
        <w:rPr>
          <w:sz w:val="24"/>
          <w:szCs w:val="24"/>
        </w:rPr>
      </w:pPr>
      <w:r>
        <w:rPr>
          <w:sz w:val="24"/>
          <w:szCs w:val="24"/>
        </w:rPr>
        <w:t>2023</w:t>
      </w:r>
      <w:r>
        <w:rPr>
          <w:rFonts w:hint="eastAsia"/>
          <w:sz w:val="24"/>
          <w:szCs w:val="24"/>
        </w:rPr>
        <w:t>年</w:t>
      </w:r>
      <w:r>
        <w:rPr>
          <w:sz w:val="24"/>
          <w:szCs w:val="24"/>
        </w:rPr>
        <w:t>5月18日-19日，中国-中亚峰会在西安举行。</w:t>
      </w:r>
      <w:r>
        <w:rPr>
          <w:rFonts w:hint="eastAsia"/>
          <w:sz w:val="24"/>
          <w:szCs w:val="24"/>
        </w:rPr>
        <w:t>2</w:t>
      </w:r>
      <w:r>
        <w:rPr>
          <w:sz w:val="24"/>
          <w:szCs w:val="24"/>
        </w:rPr>
        <w:t>023</w:t>
      </w:r>
      <w:r>
        <w:rPr>
          <w:rFonts w:hint="eastAsia"/>
          <w:sz w:val="24"/>
          <w:szCs w:val="24"/>
        </w:rPr>
        <w:t>年</w:t>
      </w:r>
      <w:r>
        <w:rPr>
          <w:sz w:val="24"/>
          <w:szCs w:val="24"/>
        </w:rPr>
        <w:t>5月18日，吉尔吉斯共和国总统萨德尔·扎帕罗夫召开与中国商界会议，公司董事长戴道国在会议上与吉尔吉斯共和国奥什市市长巴克特别克·热奇根诺夫签订了城市垃圾处理谅解备忘录，具体内容详见公司2023年5月18日披露于巨潮资讯网（www.cninfo.com.cn）的《关于签订&lt;谅解备忘录&gt;的公告》（公告编号：2023-043）。目前公司正在按照</w:t>
      </w:r>
      <w:r>
        <w:rPr>
          <w:rFonts w:hint="eastAsia"/>
          <w:sz w:val="24"/>
          <w:szCs w:val="24"/>
        </w:rPr>
        <w:t>谅解</w:t>
      </w:r>
      <w:r>
        <w:rPr>
          <w:sz w:val="24"/>
          <w:szCs w:val="24"/>
        </w:rPr>
        <w:t>备忘录的相关要求，积极推进奥什市城市垃圾处理项目的实施。</w:t>
      </w:r>
    </w:p>
    <w:p w14:paraId="04FA14FF" w14:textId="207CF6F6" w:rsidR="00C37BF5" w:rsidRDefault="00000000">
      <w:pPr>
        <w:spacing w:line="400" w:lineRule="exact"/>
        <w:ind w:firstLineChars="200" w:firstLine="480"/>
        <w:rPr>
          <w:sz w:val="24"/>
          <w:szCs w:val="24"/>
        </w:rPr>
      </w:pPr>
      <w:r>
        <w:rPr>
          <w:sz w:val="24"/>
          <w:szCs w:val="24"/>
        </w:rPr>
        <w:t>2、本次</w:t>
      </w:r>
      <w:r>
        <w:rPr>
          <w:rFonts w:hint="eastAsia"/>
          <w:sz w:val="24"/>
          <w:szCs w:val="24"/>
        </w:rPr>
        <w:t>框架</w:t>
      </w:r>
      <w:r>
        <w:rPr>
          <w:sz w:val="24"/>
          <w:szCs w:val="24"/>
        </w:rPr>
        <w:t>协议签订前三个月内（2023年8月</w:t>
      </w:r>
      <w:r w:rsidR="00462300">
        <w:rPr>
          <w:rFonts w:hint="eastAsia"/>
          <w:sz w:val="24"/>
          <w:szCs w:val="24"/>
        </w:rPr>
        <w:t>1</w:t>
      </w:r>
      <w:r w:rsidR="00D024AE">
        <w:rPr>
          <w:sz w:val="24"/>
          <w:szCs w:val="24"/>
        </w:rPr>
        <w:t>4</w:t>
      </w:r>
      <w:r>
        <w:rPr>
          <w:sz w:val="24"/>
          <w:szCs w:val="24"/>
        </w:rPr>
        <w:t>日-2023年11月</w:t>
      </w:r>
      <w:r w:rsidR="00642012">
        <w:rPr>
          <w:rFonts w:hint="eastAsia"/>
          <w:sz w:val="24"/>
          <w:szCs w:val="24"/>
        </w:rPr>
        <w:t>1</w:t>
      </w:r>
      <w:r w:rsidR="00D024AE">
        <w:rPr>
          <w:sz w:val="24"/>
          <w:szCs w:val="24"/>
        </w:rPr>
        <w:t>5</w:t>
      </w:r>
      <w:r>
        <w:rPr>
          <w:sz w:val="24"/>
          <w:szCs w:val="24"/>
        </w:rPr>
        <w:t>日）公司控股股东、持股5%以上股东、董监高成员持股无变动。</w:t>
      </w:r>
    </w:p>
    <w:p w14:paraId="09041CCF" w14:textId="77777777" w:rsidR="00C37BF5" w:rsidRDefault="00000000">
      <w:pPr>
        <w:spacing w:line="400" w:lineRule="exact"/>
        <w:ind w:firstLineChars="200" w:firstLine="480"/>
        <w:rPr>
          <w:sz w:val="24"/>
          <w:szCs w:val="24"/>
        </w:rPr>
      </w:pPr>
      <w:r>
        <w:rPr>
          <w:sz w:val="24"/>
          <w:szCs w:val="24"/>
        </w:rPr>
        <w:t>3、截至本公告披露之日，公司未收到控股股东、其他持股5%以上的股东和董监高成员减持公司股份的计划。若未来相关人员拟实施股份减持计划，公司将按相关规定及时履行信息披露义务。</w:t>
      </w:r>
    </w:p>
    <w:p w14:paraId="7DD1DE14" w14:textId="77777777" w:rsidR="00C37BF5" w:rsidRDefault="00000000">
      <w:pPr>
        <w:spacing w:line="400" w:lineRule="exact"/>
        <w:ind w:firstLineChars="200" w:firstLine="482"/>
        <w:rPr>
          <w:b/>
          <w:bCs/>
          <w:sz w:val="24"/>
          <w:szCs w:val="24"/>
        </w:rPr>
      </w:pPr>
      <w:r>
        <w:rPr>
          <w:rFonts w:hint="eastAsia"/>
          <w:b/>
          <w:bCs/>
          <w:sz w:val="24"/>
          <w:szCs w:val="24"/>
        </w:rPr>
        <w:t>六、备查文件</w:t>
      </w:r>
    </w:p>
    <w:p w14:paraId="77419DE6" w14:textId="1D6F94BF" w:rsidR="00C37BF5" w:rsidRDefault="00000000">
      <w:pPr>
        <w:spacing w:line="400" w:lineRule="exact"/>
        <w:ind w:firstLineChars="200" w:firstLine="480"/>
        <w:rPr>
          <w:sz w:val="24"/>
          <w:szCs w:val="24"/>
        </w:rPr>
      </w:pPr>
      <w:r>
        <w:rPr>
          <w:rFonts w:hint="eastAsia"/>
          <w:sz w:val="24"/>
          <w:szCs w:val="24"/>
        </w:rPr>
        <w:t>吉尔吉斯共和国比什凯克市政府和湖南军信环保股份有限公司签订的《</w:t>
      </w:r>
      <w:r w:rsidR="00325033">
        <w:rPr>
          <w:rFonts w:hint="eastAsia"/>
          <w:sz w:val="24"/>
          <w:szCs w:val="24"/>
        </w:rPr>
        <w:t>垃圾焚烧发电项目</w:t>
      </w:r>
      <w:r>
        <w:rPr>
          <w:rFonts w:hint="eastAsia"/>
          <w:sz w:val="24"/>
          <w:szCs w:val="24"/>
        </w:rPr>
        <w:t>框架协议》。</w:t>
      </w:r>
    </w:p>
    <w:p w14:paraId="2B536B7B" w14:textId="77777777" w:rsidR="00C37BF5" w:rsidRDefault="00000000">
      <w:pPr>
        <w:spacing w:line="400" w:lineRule="exact"/>
        <w:ind w:leftChars="200" w:left="440"/>
        <w:rPr>
          <w:kern w:val="2"/>
          <w:sz w:val="24"/>
          <w:szCs w:val="24"/>
        </w:rPr>
      </w:pPr>
      <w:r>
        <w:rPr>
          <w:kern w:val="2"/>
          <w:sz w:val="24"/>
          <w:szCs w:val="24"/>
        </w:rPr>
        <w:t>特此公告</w:t>
      </w:r>
      <w:r>
        <w:rPr>
          <w:rFonts w:hint="eastAsia"/>
          <w:kern w:val="2"/>
          <w:sz w:val="24"/>
          <w:szCs w:val="24"/>
        </w:rPr>
        <w:t>。</w:t>
      </w:r>
    </w:p>
    <w:p w14:paraId="3A4F08F4" w14:textId="77777777" w:rsidR="00C37BF5" w:rsidRDefault="00C37BF5">
      <w:pPr>
        <w:spacing w:line="440" w:lineRule="exact"/>
        <w:ind w:firstLineChars="2200" w:firstLine="5280"/>
        <w:jc w:val="right"/>
        <w:rPr>
          <w:sz w:val="24"/>
          <w:szCs w:val="24"/>
        </w:rPr>
      </w:pPr>
      <w:bookmarkStart w:id="14" w:name="_Hlk119672282"/>
    </w:p>
    <w:p w14:paraId="0517461F" w14:textId="77777777" w:rsidR="00C37BF5" w:rsidRDefault="00C37BF5">
      <w:pPr>
        <w:spacing w:line="440" w:lineRule="exact"/>
        <w:ind w:firstLineChars="2200" w:firstLine="5280"/>
        <w:jc w:val="right"/>
        <w:rPr>
          <w:sz w:val="24"/>
          <w:szCs w:val="24"/>
        </w:rPr>
      </w:pPr>
    </w:p>
    <w:p w14:paraId="68E9BFB1" w14:textId="77777777" w:rsidR="00C37BF5" w:rsidRDefault="00000000">
      <w:pPr>
        <w:spacing w:line="440" w:lineRule="exact"/>
        <w:ind w:firstLineChars="2200" w:firstLine="5280"/>
        <w:jc w:val="right"/>
        <w:rPr>
          <w:sz w:val="24"/>
          <w:szCs w:val="24"/>
        </w:rPr>
      </w:pPr>
      <w:r>
        <w:rPr>
          <w:rFonts w:hint="eastAsia"/>
          <w:sz w:val="24"/>
          <w:szCs w:val="24"/>
        </w:rPr>
        <w:t>湖南军信环保</w:t>
      </w:r>
      <w:r>
        <w:rPr>
          <w:sz w:val="24"/>
          <w:szCs w:val="24"/>
        </w:rPr>
        <w:t>股份有限公司</w:t>
      </w:r>
      <w:bookmarkEnd w:id="14"/>
      <w:r>
        <w:rPr>
          <w:sz w:val="24"/>
          <w:szCs w:val="24"/>
        </w:rPr>
        <w:t>董事会</w:t>
      </w:r>
    </w:p>
    <w:p w14:paraId="6A6BDE7D" w14:textId="1C2847D0" w:rsidR="00C37BF5" w:rsidRDefault="00000000">
      <w:pPr>
        <w:spacing w:line="440" w:lineRule="exact"/>
        <w:ind w:right="960" w:firstLineChars="2500" w:firstLine="6000"/>
        <w:jc w:val="right"/>
        <w:rPr>
          <w:sz w:val="24"/>
          <w:szCs w:val="24"/>
        </w:rPr>
      </w:pPr>
      <w:r>
        <w:rPr>
          <w:sz w:val="24"/>
          <w:szCs w:val="24"/>
        </w:rPr>
        <w:t>2023年11月</w:t>
      </w:r>
      <w:r w:rsidR="000961A4">
        <w:rPr>
          <w:rFonts w:hint="eastAsia"/>
          <w:sz w:val="24"/>
          <w:szCs w:val="24"/>
        </w:rPr>
        <w:t>1</w:t>
      </w:r>
      <w:r w:rsidR="00D024AE">
        <w:rPr>
          <w:sz w:val="24"/>
          <w:szCs w:val="24"/>
        </w:rPr>
        <w:t>5</w:t>
      </w:r>
      <w:r>
        <w:rPr>
          <w:sz w:val="24"/>
          <w:szCs w:val="24"/>
        </w:rPr>
        <w:t>日</w:t>
      </w:r>
    </w:p>
    <w:sectPr w:rsidR="00C37BF5">
      <w:footerReference w:type="default" r:id="rId7"/>
      <w:pgSz w:w="11920" w:h="16840"/>
      <w:pgMar w:top="1640" w:right="1200" w:bottom="1140" w:left="1300" w:header="0"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ACBC" w14:textId="77777777" w:rsidR="00672016" w:rsidRDefault="00672016">
      <w:r>
        <w:separator/>
      </w:r>
    </w:p>
  </w:endnote>
  <w:endnote w:type="continuationSeparator" w:id="0">
    <w:p w14:paraId="08DA5F15" w14:textId="77777777" w:rsidR="00672016" w:rsidRDefault="0067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5147" w14:textId="77777777" w:rsidR="00C37BF5" w:rsidRDefault="00000000">
    <w:pPr>
      <w:pStyle w:val="a4"/>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51A5DFFD" wp14:editId="638EC3C0">
              <wp:simplePos x="0" y="0"/>
              <wp:positionH relativeFrom="page">
                <wp:posOffset>3799840</wp:posOffset>
              </wp:positionH>
              <wp:positionV relativeFrom="page">
                <wp:posOffset>9948545</wp:posOffset>
              </wp:positionV>
              <wp:extent cx="156210" cy="17653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76530"/>
                      </a:xfrm>
                      <a:prstGeom prst="rect">
                        <a:avLst/>
                      </a:prstGeom>
                      <a:noFill/>
                      <a:ln>
                        <a:noFill/>
                      </a:ln>
                    </wps:spPr>
                    <wps:txbx>
                      <w:txbxContent>
                        <w:p w14:paraId="08BD0A90" w14:textId="77777777" w:rsidR="00C37BF5" w:rsidRDefault="00000000">
                          <w:pPr>
                            <w:spacing w:line="278" w:lineRule="exact"/>
                            <w:ind w:left="60"/>
                            <w:rPr>
                              <w:rFonts w:ascii="新宋体" w:eastAsia="新宋体" w:hAnsi="新宋体"/>
                              <w:sz w:val="18"/>
                            </w:rPr>
                          </w:pPr>
                          <w:r>
                            <w:rPr>
                              <w:rFonts w:ascii="新宋体" w:eastAsia="新宋体" w:hAnsi="新宋体"/>
                              <w:sz w:val="18"/>
                            </w:rPr>
                            <w:fldChar w:fldCharType="begin"/>
                          </w:r>
                          <w:r>
                            <w:rPr>
                              <w:rFonts w:ascii="新宋体" w:eastAsia="新宋体" w:hAnsi="新宋体"/>
                              <w:sz w:val="18"/>
                            </w:rPr>
                            <w:instrText xml:space="preserve"> PAGE </w:instrText>
                          </w:r>
                          <w:r>
                            <w:rPr>
                              <w:rFonts w:ascii="新宋体" w:eastAsia="新宋体" w:hAnsi="新宋体"/>
                              <w:sz w:val="18"/>
                            </w:rPr>
                            <w:fldChar w:fldCharType="separate"/>
                          </w:r>
                          <w:r>
                            <w:rPr>
                              <w:rFonts w:ascii="新宋体" w:eastAsia="新宋体" w:hAnsi="新宋体"/>
                              <w:sz w:val="18"/>
                            </w:rPr>
                            <w:t>1</w:t>
                          </w:r>
                          <w:r>
                            <w:rPr>
                              <w:rFonts w:ascii="新宋体" w:eastAsia="新宋体" w:hAnsi="新宋体"/>
                              <w:sz w:val="18"/>
                            </w:rPr>
                            <w:fldChar w:fldCharType="end"/>
                          </w:r>
                        </w:p>
                      </w:txbxContent>
                    </wps:txbx>
                    <wps:bodyPr rot="0" vert="horz" wrap="square" lIns="0" tIns="0" rIns="0" bIns="0" anchor="t" anchorCtr="0" upright="1">
                      <a:noAutofit/>
                    </wps:bodyPr>
                  </wps:wsp>
                </a:graphicData>
              </a:graphic>
            </wp:anchor>
          </w:drawing>
        </mc:Choice>
        <mc:Fallback>
          <w:pict>
            <v:shapetype w14:anchorId="51A5DFFD" id="_x0000_t202" coordsize="21600,21600" o:spt="202" path="m,l,21600r21600,l21600,xe">
              <v:stroke joinstyle="miter"/>
              <v:path gradientshapeok="t" o:connecttype="rect"/>
            </v:shapetype>
            <v:shape id="docshape1" o:spid="_x0000_s1027" type="#_x0000_t202" style="position:absolute;margin-left:299.2pt;margin-top:783.35pt;width:12.3pt;height:13.9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" filled="f" stroked="f">
              <v:textbox inset="0,0,0,0">
                <w:txbxContent>
                  <w:p w14:paraId="08BD0A90" w14:textId="77777777" w:rsidR="00C37BF5" w:rsidRDefault="00000000">
                    <w:pPr>
                      <w:spacing w:line="278" w:lineRule="exact"/>
                      <w:ind w:left="60"/>
                      <w:rPr>
                        <w:rFonts w:ascii="新宋体" w:eastAsia="新宋体" w:hAnsi="新宋体"/>
                        <w:sz w:val="18"/>
                      </w:rPr>
                    </w:pPr>
                    <w:r>
                      <w:rPr>
                        <w:rFonts w:ascii="新宋体" w:eastAsia="新宋体" w:hAnsi="新宋体"/>
                        <w:sz w:val="18"/>
                      </w:rPr>
                      <w:fldChar w:fldCharType="begin"/>
                    </w:r>
                    <w:r>
                      <w:rPr>
                        <w:rFonts w:ascii="新宋体" w:eastAsia="新宋体" w:hAnsi="新宋体"/>
                        <w:sz w:val="18"/>
                      </w:rPr>
                      <w:instrText xml:space="preserve"> PAGE </w:instrText>
                    </w:r>
                    <w:r>
                      <w:rPr>
                        <w:rFonts w:ascii="新宋体" w:eastAsia="新宋体" w:hAnsi="新宋体"/>
                        <w:sz w:val="18"/>
                      </w:rPr>
                      <w:fldChar w:fldCharType="separate"/>
                    </w:r>
                    <w:r>
                      <w:rPr>
                        <w:rFonts w:ascii="新宋体" w:eastAsia="新宋体" w:hAnsi="新宋体"/>
                        <w:sz w:val="18"/>
                      </w:rPr>
                      <w:t>1</w:t>
                    </w:r>
                    <w:r>
                      <w:rPr>
                        <w:rFonts w:ascii="新宋体" w:eastAsia="新宋体" w:hAnsi="新宋体"/>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63F3" w14:textId="77777777" w:rsidR="00672016" w:rsidRDefault="00672016">
      <w:r>
        <w:separator/>
      </w:r>
    </w:p>
  </w:footnote>
  <w:footnote w:type="continuationSeparator" w:id="0">
    <w:p w14:paraId="5C3F00C0" w14:textId="77777777" w:rsidR="00672016" w:rsidRDefault="00672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 w:name="KSO_WPS_MARK_KEY" w:val="900c5c9b-b8f2-440f-a2a2-61d7fe62c040"/>
  </w:docVars>
  <w:rsids>
    <w:rsidRoot w:val="00365550"/>
    <w:rsid w:val="000033C9"/>
    <w:rsid w:val="0002363A"/>
    <w:rsid w:val="000543C2"/>
    <w:rsid w:val="000624EF"/>
    <w:rsid w:val="00070CD9"/>
    <w:rsid w:val="00073BAC"/>
    <w:rsid w:val="000961A4"/>
    <w:rsid w:val="000A4586"/>
    <w:rsid w:val="000E0C6F"/>
    <w:rsid w:val="000E1F65"/>
    <w:rsid w:val="000F1352"/>
    <w:rsid w:val="0010335D"/>
    <w:rsid w:val="001118DA"/>
    <w:rsid w:val="00131B47"/>
    <w:rsid w:val="001364FB"/>
    <w:rsid w:val="001372C6"/>
    <w:rsid w:val="00152A1B"/>
    <w:rsid w:val="00156A91"/>
    <w:rsid w:val="00156C4F"/>
    <w:rsid w:val="00187155"/>
    <w:rsid w:val="001B16F1"/>
    <w:rsid w:val="001C352D"/>
    <w:rsid w:val="001D3999"/>
    <w:rsid w:val="001D52CD"/>
    <w:rsid w:val="002077BF"/>
    <w:rsid w:val="00220B89"/>
    <w:rsid w:val="0022429E"/>
    <w:rsid w:val="00230A3C"/>
    <w:rsid w:val="00234495"/>
    <w:rsid w:val="0025035D"/>
    <w:rsid w:val="00262DC6"/>
    <w:rsid w:val="00284823"/>
    <w:rsid w:val="00295070"/>
    <w:rsid w:val="00296B06"/>
    <w:rsid w:val="002A5AFB"/>
    <w:rsid w:val="002F226D"/>
    <w:rsid w:val="002F37A4"/>
    <w:rsid w:val="00300DB9"/>
    <w:rsid w:val="00323C0C"/>
    <w:rsid w:val="00324F54"/>
    <w:rsid w:val="00325033"/>
    <w:rsid w:val="00345A8F"/>
    <w:rsid w:val="003564D5"/>
    <w:rsid w:val="00365550"/>
    <w:rsid w:val="00373706"/>
    <w:rsid w:val="0037427E"/>
    <w:rsid w:val="003B16CA"/>
    <w:rsid w:val="003B3067"/>
    <w:rsid w:val="003C17B7"/>
    <w:rsid w:val="003D4400"/>
    <w:rsid w:val="003E46F3"/>
    <w:rsid w:val="00400BBC"/>
    <w:rsid w:val="00400D92"/>
    <w:rsid w:val="00430DFE"/>
    <w:rsid w:val="004323E8"/>
    <w:rsid w:val="00446505"/>
    <w:rsid w:val="00447BB3"/>
    <w:rsid w:val="00457BF3"/>
    <w:rsid w:val="00462300"/>
    <w:rsid w:val="004746F5"/>
    <w:rsid w:val="0047678A"/>
    <w:rsid w:val="004B111F"/>
    <w:rsid w:val="004D2E88"/>
    <w:rsid w:val="00501FF1"/>
    <w:rsid w:val="0050627A"/>
    <w:rsid w:val="005116CA"/>
    <w:rsid w:val="00527D46"/>
    <w:rsid w:val="00532965"/>
    <w:rsid w:val="00534009"/>
    <w:rsid w:val="0053536D"/>
    <w:rsid w:val="00544C3F"/>
    <w:rsid w:val="005535C7"/>
    <w:rsid w:val="00563B3C"/>
    <w:rsid w:val="0056533F"/>
    <w:rsid w:val="00565C67"/>
    <w:rsid w:val="00583073"/>
    <w:rsid w:val="005A630C"/>
    <w:rsid w:val="005A7A67"/>
    <w:rsid w:val="005A7E71"/>
    <w:rsid w:val="005C0E2D"/>
    <w:rsid w:val="005D5E72"/>
    <w:rsid w:val="00603757"/>
    <w:rsid w:val="00612BCE"/>
    <w:rsid w:val="006222F1"/>
    <w:rsid w:val="00637380"/>
    <w:rsid w:val="00642012"/>
    <w:rsid w:val="006704ED"/>
    <w:rsid w:val="00672016"/>
    <w:rsid w:val="00677A5F"/>
    <w:rsid w:val="006823A1"/>
    <w:rsid w:val="006851BA"/>
    <w:rsid w:val="006864CA"/>
    <w:rsid w:val="00695CF3"/>
    <w:rsid w:val="006A7C34"/>
    <w:rsid w:val="006B32CB"/>
    <w:rsid w:val="006C3C89"/>
    <w:rsid w:val="006D639D"/>
    <w:rsid w:val="006E3F44"/>
    <w:rsid w:val="006F0A00"/>
    <w:rsid w:val="00733928"/>
    <w:rsid w:val="00743E19"/>
    <w:rsid w:val="007449D8"/>
    <w:rsid w:val="00753FA7"/>
    <w:rsid w:val="00756EC2"/>
    <w:rsid w:val="0077165D"/>
    <w:rsid w:val="00775891"/>
    <w:rsid w:val="00775E34"/>
    <w:rsid w:val="00777440"/>
    <w:rsid w:val="0078097D"/>
    <w:rsid w:val="00787F74"/>
    <w:rsid w:val="007901A9"/>
    <w:rsid w:val="00792E04"/>
    <w:rsid w:val="00793E80"/>
    <w:rsid w:val="007B301F"/>
    <w:rsid w:val="007B6CCC"/>
    <w:rsid w:val="007C2707"/>
    <w:rsid w:val="007E2B02"/>
    <w:rsid w:val="007E6874"/>
    <w:rsid w:val="007E79BA"/>
    <w:rsid w:val="00816DA9"/>
    <w:rsid w:val="00816EDF"/>
    <w:rsid w:val="00834BB1"/>
    <w:rsid w:val="0084185E"/>
    <w:rsid w:val="00845D65"/>
    <w:rsid w:val="00866467"/>
    <w:rsid w:val="00870DC2"/>
    <w:rsid w:val="0088169E"/>
    <w:rsid w:val="00885155"/>
    <w:rsid w:val="00892B4C"/>
    <w:rsid w:val="00894CC3"/>
    <w:rsid w:val="0089522E"/>
    <w:rsid w:val="008A6A4E"/>
    <w:rsid w:val="008B4652"/>
    <w:rsid w:val="008D21DC"/>
    <w:rsid w:val="008D6C7E"/>
    <w:rsid w:val="008E7DE2"/>
    <w:rsid w:val="00904320"/>
    <w:rsid w:val="00920E41"/>
    <w:rsid w:val="0094077E"/>
    <w:rsid w:val="00941BC1"/>
    <w:rsid w:val="00972139"/>
    <w:rsid w:val="009A3B4C"/>
    <w:rsid w:val="009A43BB"/>
    <w:rsid w:val="009A563A"/>
    <w:rsid w:val="009C5A77"/>
    <w:rsid w:val="00A03878"/>
    <w:rsid w:val="00A059EE"/>
    <w:rsid w:val="00A2148C"/>
    <w:rsid w:val="00A461C3"/>
    <w:rsid w:val="00A53097"/>
    <w:rsid w:val="00A56467"/>
    <w:rsid w:val="00A72F6F"/>
    <w:rsid w:val="00A8425B"/>
    <w:rsid w:val="00A91D11"/>
    <w:rsid w:val="00A922F1"/>
    <w:rsid w:val="00AB106A"/>
    <w:rsid w:val="00AC20BB"/>
    <w:rsid w:val="00AD1D06"/>
    <w:rsid w:val="00AD779D"/>
    <w:rsid w:val="00AE5315"/>
    <w:rsid w:val="00AF1D41"/>
    <w:rsid w:val="00B057FC"/>
    <w:rsid w:val="00B1695F"/>
    <w:rsid w:val="00B16D94"/>
    <w:rsid w:val="00B23A6D"/>
    <w:rsid w:val="00B37238"/>
    <w:rsid w:val="00B573C9"/>
    <w:rsid w:val="00B62848"/>
    <w:rsid w:val="00B65724"/>
    <w:rsid w:val="00B665D4"/>
    <w:rsid w:val="00B738FE"/>
    <w:rsid w:val="00B7764A"/>
    <w:rsid w:val="00B85E21"/>
    <w:rsid w:val="00B861CD"/>
    <w:rsid w:val="00B96AC6"/>
    <w:rsid w:val="00BA3728"/>
    <w:rsid w:val="00BB32F4"/>
    <w:rsid w:val="00BB38A1"/>
    <w:rsid w:val="00BC1267"/>
    <w:rsid w:val="00BD5030"/>
    <w:rsid w:val="00BD5D1D"/>
    <w:rsid w:val="00BF5166"/>
    <w:rsid w:val="00C0009B"/>
    <w:rsid w:val="00C06318"/>
    <w:rsid w:val="00C177F5"/>
    <w:rsid w:val="00C2464E"/>
    <w:rsid w:val="00C261E1"/>
    <w:rsid w:val="00C300C3"/>
    <w:rsid w:val="00C32141"/>
    <w:rsid w:val="00C37BF5"/>
    <w:rsid w:val="00C47939"/>
    <w:rsid w:val="00C568C9"/>
    <w:rsid w:val="00C6276D"/>
    <w:rsid w:val="00CC313A"/>
    <w:rsid w:val="00CE2B44"/>
    <w:rsid w:val="00CE2D5C"/>
    <w:rsid w:val="00CF218F"/>
    <w:rsid w:val="00D024AE"/>
    <w:rsid w:val="00D15537"/>
    <w:rsid w:val="00D24196"/>
    <w:rsid w:val="00D2558C"/>
    <w:rsid w:val="00D5036B"/>
    <w:rsid w:val="00D50456"/>
    <w:rsid w:val="00D61F41"/>
    <w:rsid w:val="00D64139"/>
    <w:rsid w:val="00DA0F0E"/>
    <w:rsid w:val="00DD6498"/>
    <w:rsid w:val="00DE1711"/>
    <w:rsid w:val="00DE1864"/>
    <w:rsid w:val="00DE1CD5"/>
    <w:rsid w:val="00DE2573"/>
    <w:rsid w:val="00DF57D5"/>
    <w:rsid w:val="00E0083E"/>
    <w:rsid w:val="00E17B1E"/>
    <w:rsid w:val="00E20910"/>
    <w:rsid w:val="00E31AD3"/>
    <w:rsid w:val="00E36859"/>
    <w:rsid w:val="00E608DC"/>
    <w:rsid w:val="00E63A77"/>
    <w:rsid w:val="00E813AF"/>
    <w:rsid w:val="00EB6062"/>
    <w:rsid w:val="00ED5E22"/>
    <w:rsid w:val="00F065C4"/>
    <w:rsid w:val="00F11A11"/>
    <w:rsid w:val="00F47DB5"/>
    <w:rsid w:val="00F61E11"/>
    <w:rsid w:val="00F7580A"/>
    <w:rsid w:val="00F765C5"/>
    <w:rsid w:val="00F81520"/>
    <w:rsid w:val="00F8534A"/>
    <w:rsid w:val="00F900F3"/>
    <w:rsid w:val="00FA2113"/>
    <w:rsid w:val="00FA4C9F"/>
    <w:rsid w:val="00FC353F"/>
    <w:rsid w:val="00FE164B"/>
    <w:rsid w:val="00FE5902"/>
    <w:rsid w:val="00FF0753"/>
    <w:rsid w:val="00FF4C36"/>
    <w:rsid w:val="03416B24"/>
    <w:rsid w:val="04E4265A"/>
    <w:rsid w:val="09CF63E8"/>
    <w:rsid w:val="0AA126CE"/>
    <w:rsid w:val="0B183F48"/>
    <w:rsid w:val="0C8D73ED"/>
    <w:rsid w:val="0D4E59FF"/>
    <w:rsid w:val="0F016697"/>
    <w:rsid w:val="101F0112"/>
    <w:rsid w:val="108125EE"/>
    <w:rsid w:val="130F3E82"/>
    <w:rsid w:val="134E49AB"/>
    <w:rsid w:val="13870C36"/>
    <w:rsid w:val="13ED0125"/>
    <w:rsid w:val="14FA398A"/>
    <w:rsid w:val="1647159A"/>
    <w:rsid w:val="1E9E3CFE"/>
    <w:rsid w:val="205F7DB7"/>
    <w:rsid w:val="21DD5B7A"/>
    <w:rsid w:val="24A87C93"/>
    <w:rsid w:val="252A06A8"/>
    <w:rsid w:val="27823B98"/>
    <w:rsid w:val="292D7583"/>
    <w:rsid w:val="2AA36F32"/>
    <w:rsid w:val="305E5575"/>
    <w:rsid w:val="382F0126"/>
    <w:rsid w:val="387E69E9"/>
    <w:rsid w:val="390633C4"/>
    <w:rsid w:val="3B0B11E9"/>
    <w:rsid w:val="3BB47A2E"/>
    <w:rsid w:val="3BF82951"/>
    <w:rsid w:val="3C022D3B"/>
    <w:rsid w:val="3D72055F"/>
    <w:rsid w:val="3DBC4EAE"/>
    <w:rsid w:val="3F6E1840"/>
    <w:rsid w:val="4007304A"/>
    <w:rsid w:val="47D6058D"/>
    <w:rsid w:val="4CC2310B"/>
    <w:rsid w:val="4FBC5277"/>
    <w:rsid w:val="4FC87B0E"/>
    <w:rsid w:val="50C33A7B"/>
    <w:rsid w:val="5472334E"/>
    <w:rsid w:val="552F0148"/>
    <w:rsid w:val="561A25D9"/>
    <w:rsid w:val="587921B4"/>
    <w:rsid w:val="684A03D4"/>
    <w:rsid w:val="68B23EF1"/>
    <w:rsid w:val="6A2A627B"/>
    <w:rsid w:val="6B4F5D3F"/>
    <w:rsid w:val="6BD910A1"/>
    <w:rsid w:val="6E0769C3"/>
    <w:rsid w:val="6EDB1671"/>
    <w:rsid w:val="6FAF14A2"/>
    <w:rsid w:val="74716D26"/>
    <w:rsid w:val="77C2701C"/>
    <w:rsid w:val="7C066C9C"/>
    <w:rsid w:val="7EE822DB"/>
    <w:rsid w:val="7F01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2A1E3E"/>
  <w15:docId w15:val="{A2DA161D-D976-4673-8838-807874DB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rPr>
  </w:style>
  <w:style w:type="paragraph" w:styleId="1">
    <w:name w:val="heading 1"/>
    <w:basedOn w:val="a"/>
    <w:next w:val="a"/>
    <w:uiPriority w:val="9"/>
    <w:qFormat/>
    <w:pPr>
      <w:ind w:left="771"/>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Body Text"/>
    <w:basedOn w:val="a"/>
    <w:uiPriority w:val="1"/>
    <w:qFormat/>
    <w:pPr>
      <w:ind w:left="289"/>
    </w:pPr>
    <w:rPr>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uiPriority w:val="10"/>
    <w:qFormat/>
    <w:pPr>
      <w:ind w:left="699" w:right="792"/>
      <w:jc w:val="center"/>
    </w:pPr>
    <w:rPr>
      <w:sz w:val="36"/>
      <w:szCs w:val="36"/>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800080"/>
      <w:sz w:val="15"/>
      <w:szCs w:val="15"/>
      <w:u w:val="single"/>
    </w:rPr>
  </w:style>
  <w:style w:type="character" w:styleId="ae">
    <w:name w:val="Hyperlink"/>
    <w:basedOn w:val="a0"/>
    <w:uiPriority w:val="99"/>
    <w:semiHidden/>
    <w:unhideWhenUsed/>
    <w:qFormat/>
    <w:rPr>
      <w:color w:val="0000FF"/>
      <w:sz w:val="15"/>
      <w:szCs w:val="15"/>
      <w:u w:val="single"/>
    </w:rPr>
  </w:style>
  <w:style w:type="character" w:styleId="af">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style>
  <w:style w:type="paragraph" w:customStyle="1" w:styleId="TableParagraph">
    <w:name w:val="Table Paragraph"/>
    <w:basedOn w:val="a"/>
    <w:uiPriority w:val="1"/>
    <w:qFormat/>
  </w:style>
  <w:style w:type="character" w:customStyle="1" w:styleId="aa">
    <w:name w:val="页眉 字符"/>
    <w:basedOn w:val="a0"/>
    <w:link w:val="a9"/>
    <w:uiPriority w:val="99"/>
    <w:qFormat/>
    <w:rPr>
      <w:rFonts w:ascii="宋体" w:eastAsia="宋体" w:hAnsi="宋体" w:cs="宋体"/>
      <w:sz w:val="18"/>
      <w:szCs w:val="18"/>
      <w:lang w:eastAsia="zh-CN"/>
    </w:rPr>
  </w:style>
  <w:style w:type="character" w:customStyle="1" w:styleId="a8">
    <w:name w:val="页脚 字符"/>
    <w:basedOn w:val="a0"/>
    <w:link w:val="a7"/>
    <w:uiPriority w:val="99"/>
    <w:qFormat/>
    <w:rPr>
      <w:rFonts w:ascii="宋体" w:eastAsia="宋体" w:hAnsi="宋体" w:cs="宋体"/>
      <w:sz w:val="18"/>
      <w:szCs w:val="18"/>
      <w:lang w:eastAsia="zh-CN"/>
    </w:rPr>
  </w:style>
  <w:style w:type="paragraph" w:customStyle="1" w:styleId="10">
    <w:name w:val="修订1"/>
    <w:hidden/>
    <w:uiPriority w:val="99"/>
    <w:semiHidden/>
    <w:qFormat/>
    <w:rPr>
      <w:rFonts w:ascii="宋体" w:hAnsi="宋体" w:cs="宋体"/>
      <w:sz w:val="22"/>
      <w:szCs w:val="22"/>
    </w:rPr>
  </w:style>
  <w:style w:type="character" w:customStyle="1" w:styleId="a6">
    <w:name w:val="批注框文本 字符"/>
    <w:basedOn w:val="a0"/>
    <w:link w:val="a5"/>
    <w:uiPriority w:val="99"/>
    <w:semiHidden/>
    <w:qFormat/>
    <w:rPr>
      <w:rFonts w:ascii="宋体" w:hAnsi="宋体" w:cs="宋体"/>
      <w:sz w:val="18"/>
      <w:szCs w:val="18"/>
    </w:rPr>
  </w:style>
  <w:style w:type="paragraph" w:customStyle="1" w:styleId="2">
    <w:name w:val="修订2"/>
    <w:hidden/>
    <w:uiPriority w:val="99"/>
    <w:semiHidden/>
    <w:qFormat/>
    <w:rPr>
      <w:rFonts w:ascii="宋体" w:hAnsi="宋体" w:cs="宋体"/>
      <w:sz w:val="22"/>
      <w:szCs w:val="22"/>
    </w:rPr>
  </w:style>
  <w:style w:type="paragraph" w:customStyle="1" w:styleId="3">
    <w:name w:val="修订3"/>
    <w:hidden/>
    <w:uiPriority w:val="99"/>
    <w:semiHidden/>
    <w:qFormat/>
    <w:rPr>
      <w:rFonts w:ascii="宋体" w:hAnsi="宋体" w:cs="宋体"/>
      <w:sz w:val="22"/>
      <w:szCs w:val="22"/>
    </w:rPr>
  </w:style>
  <w:style w:type="paragraph" w:customStyle="1" w:styleId="4">
    <w:name w:val="修订4"/>
    <w:hidden/>
    <w:uiPriority w:val="99"/>
    <w:semiHidden/>
    <w:qFormat/>
    <w:rPr>
      <w:rFonts w:ascii="宋体" w:hAnsi="宋体" w:cs="宋体"/>
      <w:sz w:val="22"/>
      <w:szCs w:val="22"/>
    </w:rPr>
  </w:style>
  <w:style w:type="paragraph" w:customStyle="1" w:styleId="5">
    <w:name w:val="修订5"/>
    <w:hidden/>
    <w:uiPriority w:val="99"/>
    <w:semiHidden/>
    <w:rPr>
      <w:rFonts w:ascii="宋体" w:hAnsi="宋体" w:cs="宋体"/>
      <w:sz w:val="22"/>
      <w:szCs w:val="22"/>
    </w:rPr>
  </w:style>
  <w:style w:type="paragraph" w:styleId="af1">
    <w:name w:val="Revision"/>
    <w:hidden/>
    <w:uiPriority w:val="99"/>
    <w:unhideWhenUsed/>
    <w:rsid w:val="0077165D"/>
    <w:rPr>
      <w:rFonts w:ascii="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证券代码：300196        证券简称：长海股份        公告编号：2014-0</dc:title>
  <dc:creator>JiangFeng</dc:creator>
  <cp:lastModifiedBy>jx-5</cp:lastModifiedBy>
  <cp:revision>22</cp:revision>
  <cp:lastPrinted>2023-11-15T05:21:00Z</cp:lastPrinted>
  <dcterms:created xsi:type="dcterms:W3CDTF">2023-11-13T03:53:00Z</dcterms:created>
  <dcterms:modified xsi:type="dcterms:W3CDTF">2023-11-15T05:53:00Z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Microsoft® Office Word 2007</vt:lpwstr>
  </property>
  <property fmtid="{D5CDD505-2E9C-101B-9397-08002B2CF9AE}" pid="4" name="LastSaved">
    <vt:filetime>2022-04-19T00:00:00Z</vt:filetime>
  </property>
  <property fmtid="{D5CDD505-2E9C-101B-9397-08002B2CF9AE}" pid="5" name="KSOProductBuildVer">
    <vt:lpwstr>2052-11.1.0.12763</vt:lpwstr>
  </property>
  <property fmtid="{D5CDD505-2E9C-101B-9397-08002B2CF9AE}" pid="6" name="ICV">
    <vt:lpwstr>BC982290B3E4483896D4AD73CBDEBDDA</vt:lpwstr>
  </property>
</Properties>
</file>